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871C2">
      <w:pPr>
        <w:pStyle w:val="3"/>
        <w:spacing w:before="0" w:after="0" w:line="240" w:lineRule="auto"/>
        <w:rPr>
          <w:sz w:val="32"/>
          <w:szCs w:val="32"/>
        </w:rPr>
      </w:pPr>
      <w:bookmarkStart w:id="86" w:name="_GoBack"/>
      <w:bookmarkEnd w:id="86"/>
      <w:r>
        <w:rPr>
          <w:rFonts w:hint="eastAsia"/>
          <w:sz w:val="32"/>
          <w:szCs w:val="32"/>
        </w:rPr>
        <w:t>附件1</w:t>
      </w:r>
    </w:p>
    <w:p w14:paraId="3B9718EF">
      <w:pPr>
        <w:pStyle w:val="3"/>
        <w:spacing w:before="0" w:after="0" w:line="240" w:lineRule="auto"/>
        <w:jc w:val="center"/>
        <w:rPr>
          <w:b w:val="0"/>
          <w:bCs/>
          <w:kern w:val="0"/>
          <w:sz w:val="32"/>
          <w:szCs w:val="32"/>
        </w:rPr>
      </w:pPr>
      <w:r>
        <w:rPr>
          <w:sz w:val="32"/>
          <w:szCs w:val="32"/>
        </w:rPr>
        <w:t>采购需求</w:t>
      </w:r>
    </w:p>
    <w:p w14:paraId="2EA45CBF">
      <w:pPr>
        <w:spacing w:line="360" w:lineRule="auto"/>
        <w:rPr>
          <w:sz w:val="24"/>
        </w:rPr>
      </w:pPr>
    </w:p>
    <w:p w14:paraId="7286CFA5">
      <w:pPr>
        <w:numPr>
          <w:ilvl w:val="0"/>
          <w:numId w:val="2"/>
        </w:numPr>
        <w:spacing w:line="360" w:lineRule="auto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采购需求一览表</w:t>
      </w:r>
    </w:p>
    <w:tbl>
      <w:tblPr>
        <w:tblStyle w:val="11"/>
        <w:tblpPr w:leftFromText="180" w:rightFromText="180" w:vertAnchor="text" w:horzAnchor="page" w:tblpX="1094" w:tblpY="468"/>
        <w:tblOverlap w:val="never"/>
        <w:tblW w:w="95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3099"/>
        <w:gridCol w:w="1541"/>
        <w:gridCol w:w="922"/>
        <w:gridCol w:w="1610"/>
        <w:gridCol w:w="1638"/>
      </w:tblGrid>
      <w:tr w14:paraId="1FC25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748" w:type="dxa"/>
            <w:vAlign w:val="center"/>
          </w:tcPr>
          <w:p w14:paraId="48BA623B">
            <w:pPr>
              <w:pStyle w:val="23"/>
              <w:spacing w:line="500" w:lineRule="exact"/>
              <w:ind w:firstLine="0" w:firstLineChars="0"/>
              <w:jc w:val="center"/>
              <w:rPr>
                <w:rFonts w:hAnsi="仿宋_GB2312" w:eastAsia="仿宋_GB2312"/>
                <w:sz w:val="24"/>
                <w:szCs w:val="24"/>
              </w:rPr>
            </w:pPr>
            <w:r>
              <w:rPr>
                <w:rFonts w:hint="eastAsia" w:hAnsi="仿宋_GB2312" w:eastAsia="仿宋_GB2312"/>
                <w:sz w:val="24"/>
                <w:szCs w:val="24"/>
              </w:rPr>
              <w:t>序号</w:t>
            </w:r>
          </w:p>
        </w:tc>
        <w:tc>
          <w:tcPr>
            <w:tcW w:w="3099" w:type="dxa"/>
            <w:vAlign w:val="center"/>
          </w:tcPr>
          <w:p w14:paraId="12014297">
            <w:pPr>
              <w:pStyle w:val="23"/>
              <w:spacing w:line="500" w:lineRule="exact"/>
              <w:ind w:firstLine="0" w:firstLineChars="0"/>
              <w:jc w:val="center"/>
              <w:rPr>
                <w:rFonts w:hAnsi="仿宋_GB2312" w:eastAsia="仿宋_GB2312"/>
                <w:sz w:val="24"/>
                <w:szCs w:val="24"/>
              </w:rPr>
            </w:pPr>
            <w:r>
              <w:rPr>
                <w:rFonts w:hint="eastAsia" w:hAnsi="仿宋_GB2312" w:eastAsia="仿宋_GB2312"/>
                <w:sz w:val="24"/>
                <w:szCs w:val="24"/>
              </w:rPr>
              <w:t>项目名称</w:t>
            </w:r>
          </w:p>
        </w:tc>
        <w:tc>
          <w:tcPr>
            <w:tcW w:w="1541" w:type="dxa"/>
            <w:vAlign w:val="center"/>
          </w:tcPr>
          <w:p w14:paraId="262F3CB1">
            <w:pPr>
              <w:pStyle w:val="23"/>
              <w:spacing w:line="500" w:lineRule="exact"/>
              <w:ind w:firstLine="0" w:firstLineChars="0"/>
              <w:jc w:val="center"/>
              <w:rPr>
                <w:rFonts w:hAnsi="仿宋_GB2312" w:eastAsia="仿宋_GB2312"/>
                <w:sz w:val="24"/>
                <w:szCs w:val="24"/>
              </w:rPr>
            </w:pPr>
            <w:r>
              <w:rPr>
                <w:rFonts w:hint="eastAsia" w:hAnsi="仿宋_GB2312" w:eastAsia="仿宋_GB2312"/>
                <w:sz w:val="24"/>
                <w:szCs w:val="24"/>
              </w:rPr>
              <w:t>服务范围</w:t>
            </w:r>
          </w:p>
        </w:tc>
        <w:tc>
          <w:tcPr>
            <w:tcW w:w="922" w:type="dxa"/>
            <w:vAlign w:val="center"/>
          </w:tcPr>
          <w:p w14:paraId="2F50081B">
            <w:pPr>
              <w:pStyle w:val="23"/>
              <w:spacing w:line="500" w:lineRule="exact"/>
              <w:ind w:firstLine="0" w:firstLineChars="0"/>
              <w:jc w:val="center"/>
              <w:rPr>
                <w:rFonts w:hAnsi="仿宋_GB2312" w:eastAsia="仿宋_GB2312"/>
                <w:sz w:val="24"/>
                <w:szCs w:val="24"/>
              </w:rPr>
            </w:pPr>
            <w:r>
              <w:rPr>
                <w:rFonts w:hint="eastAsia" w:hAnsi="仿宋_GB2312" w:eastAsia="仿宋_GB2312"/>
                <w:sz w:val="24"/>
                <w:szCs w:val="24"/>
              </w:rPr>
              <w:t>服务周期</w:t>
            </w:r>
          </w:p>
        </w:tc>
        <w:tc>
          <w:tcPr>
            <w:tcW w:w="1610" w:type="dxa"/>
            <w:vAlign w:val="center"/>
          </w:tcPr>
          <w:p w14:paraId="2033B988">
            <w:pPr>
              <w:pStyle w:val="23"/>
              <w:spacing w:line="500" w:lineRule="exact"/>
              <w:ind w:firstLine="0" w:firstLineChars="0"/>
              <w:jc w:val="center"/>
              <w:rPr>
                <w:rFonts w:hAnsi="仿宋_GB2312" w:eastAsia="仿宋_GB2312"/>
                <w:sz w:val="24"/>
                <w:szCs w:val="24"/>
              </w:rPr>
            </w:pPr>
            <w:r>
              <w:rPr>
                <w:rFonts w:hint="eastAsia" w:hAnsi="仿宋_GB2312" w:eastAsia="仿宋_GB2312"/>
                <w:sz w:val="24"/>
                <w:szCs w:val="24"/>
                <w:lang w:val="zh-CN"/>
              </w:rPr>
              <w:t>技术规格、参数及要求</w:t>
            </w:r>
          </w:p>
        </w:tc>
        <w:tc>
          <w:tcPr>
            <w:tcW w:w="1638" w:type="dxa"/>
            <w:vAlign w:val="center"/>
          </w:tcPr>
          <w:p w14:paraId="73292E22">
            <w:pPr>
              <w:pStyle w:val="23"/>
              <w:spacing w:line="500" w:lineRule="exact"/>
              <w:ind w:firstLine="0" w:firstLineChars="0"/>
              <w:jc w:val="center"/>
              <w:rPr>
                <w:rFonts w:hAnsi="仿宋_GB2312" w:eastAsia="仿宋_GB2312"/>
                <w:sz w:val="24"/>
                <w:szCs w:val="24"/>
              </w:rPr>
            </w:pPr>
            <w:r>
              <w:rPr>
                <w:rFonts w:hint="eastAsia" w:hAnsi="仿宋_GB2312" w:eastAsia="仿宋_GB2312"/>
                <w:sz w:val="24"/>
                <w:szCs w:val="24"/>
              </w:rPr>
              <w:t>预算金额（人民币/年）</w:t>
            </w:r>
          </w:p>
        </w:tc>
      </w:tr>
      <w:tr w14:paraId="03D17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748" w:type="dxa"/>
            <w:vAlign w:val="center"/>
          </w:tcPr>
          <w:p w14:paraId="09AB6599">
            <w:pPr>
              <w:pStyle w:val="23"/>
              <w:spacing w:line="500" w:lineRule="exact"/>
              <w:ind w:firstLine="0" w:firstLineChars="0"/>
              <w:jc w:val="center"/>
              <w:rPr>
                <w:rFonts w:hAnsi="仿宋_GB2312" w:eastAsia="仿宋_GB2312"/>
                <w:sz w:val="24"/>
                <w:szCs w:val="24"/>
              </w:rPr>
            </w:pPr>
            <w:r>
              <w:rPr>
                <w:rFonts w:hint="eastAsia" w:hAnsi="仿宋_GB2312" w:eastAsia="仿宋_GB2312"/>
                <w:sz w:val="24"/>
                <w:szCs w:val="24"/>
              </w:rPr>
              <w:t>1</w:t>
            </w:r>
          </w:p>
        </w:tc>
        <w:tc>
          <w:tcPr>
            <w:tcW w:w="3099" w:type="dxa"/>
            <w:vAlign w:val="center"/>
          </w:tcPr>
          <w:p w14:paraId="7CEB4658">
            <w:pPr>
              <w:pStyle w:val="23"/>
              <w:spacing w:line="500" w:lineRule="exact"/>
              <w:ind w:firstLine="0" w:firstLineChars="0"/>
              <w:jc w:val="center"/>
              <w:rPr>
                <w:rFonts w:hAnsi="仿宋_GB2312" w:eastAsia="仿宋_GB2312"/>
                <w:sz w:val="24"/>
                <w:szCs w:val="24"/>
              </w:rPr>
            </w:pPr>
            <w:r>
              <w:rPr>
                <w:rFonts w:hint="eastAsia" w:hAnsi="仿宋_GB2312" w:eastAsia="仿宋_GB2312"/>
                <w:sz w:val="24"/>
                <w:szCs w:val="24"/>
              </w:rPr>
              <w:t>2026年LIS及病理系统运维服务采购项目</w:t>
            </w:r>
          </w:p>
        </w:tc>
        <w:tc>
          <w:tcPr>
            <w:tcW w:w="1541" w:type="dxa"/>
            <w:vAlign w:val="center"/>
          </w:tcPr>
          <w:p w14:paraId="39DC04FD">
            <w:pPr>
              <w:pStyle w:val="23"/>
              <w:spacing w:line="500" w:lineRule="exact"/>
              <w:ind w:firstLine="0" w:firstLineChars="0"/>
              <w:jc w:val="center"/>
              <w:rPr>
                <w:rFonts w:hAnsi="仿宋_GB2312" w:eastAsia="仿宋_GB2312"/>
                <w:sz w:val="24"/>
                <w:szCs w:val="24"/>
              </w:rPr>
            </w:pPr>
            <w:r>
              <w:rPr>
                <w:rFonts w:hint="eastAsia" w:hAnsi="仿宋_GB2312" w:eastAsia="仿宋_GB2312"/>
                <w:sz w:val="24"/>
                <w:szCs w:val="24"/>
              </w:rPr>
              <w:t>广东省生殖医院</w:t>
            </w:r>
          </w:p>
        </w:tc>
        <w:tc>
          <w:tcPr>
            <w:tcW w:w="922" w:type="dxa"/>
            <w:vAlign w:val="center"/>
          </w:tcPr>
          <w:p w14:paraId="155F3ACF">
            <w:pPr>
              <w:pStyle w:val="23"/>
              <w:spacing w:line="500" w:lineRule="exact"/>
              <w:ind w:firstLine="0" w:firstLineChars="0"/>
              <w:jc w:val="center"/>
              <w:rPr>
                <w:rFonts w:hAnsi="仿宋_GB2312" w:eastAsia="仿宋_GB2312"/>
                <w:sz w:val="24"/>
                <w:szCs w:val="24"/>
              </w:rPr>
            </w:pPr>
            <w:r>
              <w:rPr>
                <w:rFonts w:hint="eastAsia" w:hAnsi="仿宋_GB2312" w:eastAsia="仿宋_GB2312"/>
                <w:sz w:val="24"/>
                <w:szCs w:val="24"/>
              </w:rPr>
              <w:t>3年</w:t>
            </w:r>
          </w:p>
        </w:tc>
        <w:tc>
          <w:tcPr>
            <w:tcW w:w="1610" w:type="dxa"/>
            <w:vAlign w:val="center"/>
          </w:tcPr>
          <w:p w14:paraId="4D28D43F">
            <w:pPr>
              <w:pStyle w:val="23"/>
              <w:spacing w:line="500" w:lineRule="exact"/>
              <w:ind w:firstLine="0" w:firstLineChars="0"/>
              <w:jc w:val="center"/>
              <w:rPr>
                <w:rFonts w:hAnsi="仿宋_GB2312" w:eastAsia="仿宋_GB2312"/>
                <w:sz w:val="24"/>
                <w:szCs w:val="24"/>
              </w:rPr>
            </w:pPr>
            <w:r>
              <w:rPr>
                <w:rFonts w:hint="eastAsia" w:hAnsi="仿宋_GB2312" w:eastAsia="仿宋_GB2312"/>
                <w:sz w:val="24"/>
                <w:szCs w:val="24"/>
                <w:lang w:val="zh-CN"/>
              </w:rPr>
              <w:t>详见</w:t>
            </w:r>
            <w:r>
              <w:rPr>
                <w:rFonts w:hint="eastAsia" w:hAnsi="仿宋_GB2312" w:eastAsia="仿宋_GB2312"/>
                <w:sz w:val="24"/>
                <w:szCs w:val="24"/>
              </w:rPr>
              <w:t>附件</w:t>
            </w:r>
          </w:p>
        </w:tc>
        <w:tc>
          <w:tcPr>
            <w:tcW w:w="1638" w:type="dxa"/>
            <w:vAlign w:val="center"/>
          </w:tcPr>
          <w:p w14:paraId="281B8AD3">
            <w:pPr>
              <w:pStyle w:val="23"/>
              <w:spacing w:line="500" w:lineRule="exact"/>
              <w:ind w:firstLine="0" w:firstLineChars="0"/>
              <w:jc w:val="center"/>
              <w:rPr>
                <w:rFonts w:hAnsi="仿宋_GB2312" w:eastAsia="仿宋_GB2312"/>
                <w:sz w:val="24"/>
                <w:szCs w:val="24"/>
              </w:rPr>
            </w:pPr>
            <w:r>
              <w:rPr>
                <w:rFonts w:hint="eastAsia" w:hAnsi="仿宋_GB2312" w:eastAsia="仿宋_GB2312"/>
                <w:sz w:val="24"/>
                <w:szCs w:val="24"/>
              </w:rPr>
              <w:t>5.7万元</w:t>
            </w:r>
          </w:p>
        </w:tc>
      </w:tr>
    </w:tbl>
    <w:p w14:paraId="66B74AE2">
      <w:pPr>
        <w:pStyle w:val="5"/>
      </w:pPr>
      <w:r>
        <w:rPr>
          <w:rFonts w:hint="eastAsia"/>
        </w:rPr>
        <w:t>1、项目基本信息。</w:t>
      </w:r>
    </w:p>
    <w:p w14:paraId="48F61784">
      <w:pPr>
        <w:pStyle w:val="5"/>
      </w:pPr>
      <w:r>
        <w:rPr>
          <w:rFonts w:hint="eastAsia"/>
        </w:rPr>
        <w:t>2、服务地点：广东省生殖医院</w:t>
      </w:r>
    </w:p>
    <w:p w14:paraId="28AEE57C">
      <w:pPr>
        <w:pStyle w:val="5"/>
      </w:pPr>
      <w:r>
        <w:rPr>
          <w:rFonts w:hint="eastAsia"/>
        </w:rPr>
        <w:t>3、付款方式：</w:t>
      </w:r>
    </w:p>
    <w:p w14:paraId="1EB6AB0F">
      <w:pPr>
        <w:pStyle w:val="5"/>
      </w:pPr>
      <w:r>
        <w:rPr>
          <w:rFonts w:hint="eastAsia"/>
        </w:rPr>
        <w:t>合同签署生效，采购人收到供应商每年开具的正式发票，30个工作日内，采购人当年向供应商支付合同金额的50%，待项目验收后，根据验收结果再支付剩余金额；</w:t>
      </w:r>
    </w:p>
    <w:p w14:paraId="76C9E72F">
      <w:pPr>
        <w:pStyle w:val="5"/>
      </w:pPr>
      <w:r>
        <w:rPr>
          <w:rFonts w:hint="eastAsia"/>
        </w:rPr>
        <w:t>4、其他：合同按年签订，每一年协议期满，如双方有意继续合作，在价格不变的情况下续签，应在期满前一个月重新签订书面协议书；如没有重新签订协议书或书面约定延期的，该合同服务期限届满时本协议书即告终止。</w:t>
      </w:r>
    </w:p>
    <w:p w14:paraId="25C086A6">
      <w:pPr>
        <w:numPr>
          <w:ilvl w:val="0"/>
          <w:numId w:val="3"/>
        </w:numPr>
        <w:spacing w:line="360" w:lineRule="auto"/>
        <w:rPr>
          <w:b/>
          <w:bCs/>
          <w:sz w:val="24"/>
        </w:rPr>
      </w:pPr>
      <w:r>
        <w:rPr>
          <w:b/>
          <w:bCs/>
          <w:sz w:val="24"/>
        </w:rPr>
        <w:t>服务内容</w:t>
      </w:r>
    </w:p>
    <w:p w14:paraId="4F4F8995">
      <w:pPr>
        <w:pStyle w:val="5"/>
        <w:rPr>
          <w:lang w:eastAsia="zh-Hans"/>
        </w:rPr>
      </w:pPr>
      <w:bookmarkStart w:id="0" w:name="_Toc72913294"/>
      <w:bookmarkStart w:id="1" w:name="_Toc520806043"/>
      <w:bookmarkStart w:id="2" w:name="_Toc119592482"/>
      <w:bookmarkStart w:id="3" w:name="_Toc119592639"/>
      <w:bookmarkStart w:id="4" w:name="_Toc149119221"/>
      <w:bookmarkStart w:id="5" w:name="_Toc124791103"/>
      <w:bookmarkStart w:id="6" w:name="_Toc149059488"/>
      <w:bookmarkStart w:id="7" w:name="_Toc120797062"/>
      <w:bookmarkStart w:id="8" w:name="_Toc130549189"/>
      <w:bookmarkStart w:id="9" w:name="_Toc9079195"/>
      <w:bookmarkStart w:id="10" w:name="_Toc119592325"/>
      <w:bookmarkStart w:id="11" w:name="_Toc148961250"/>
      <w:bookmarkStart w:id="12" w:name="_Toc351625743"/>
      <w:bookmarkStart w:id="13" w:name="_Toc119930702"/>
      <w:bookmarkStart w:id="14" w:name="_Toc37007093"/>
      <w:bookmarkStart w:id="15" w:name="_Toc121256479"/>
      <w:bookmarkStart w:id="16" w:name="_Toc146109781"/>
      <w:bookmarkStart w:id="17" w:name="_Toc76054540"/>
      <w:bookmarkStart w:id="18" w:name="_Toc73981184"/>
      <w:bookmarkStart w:id="19" w:name="_Toc144914709"/>
      <w:bookmarkStart w:id="20" w:name="_Toc135762662"/>
      <w:bookmarkStart w:id="21" w:name="_Toc147765238"/>
      <w:bookmarkStart w:id="22" w:name="_Toc148961237"/>
      <w:bookmarkStart w:id="23" w:name="_Ref138756772"/>
      <w:bookmarkStart w:id="24" w:name="_Toc72913321"/>
      <w:bookmarkStart w:id="25" w:name="_Toc136374019"/>
      <w:bookmarkStart w:id="26" w:name="_Toc88664505"/>
      <w:bookmarkStart w:id="27" w:name="_Toc130549177"/>
      <w:bookmarkStart w:id="28" w:name="_Toc26369099"/>
      <w:bookmarkStart w:id="29" w:name="_Toc119592470"/>
      <w:bookmarkStart w:id="30" w:name="_Toc132818858"/>
      <w:bookmarkStart w:id="31" w:name="_Toc528841079"/>
      <w:bookmarkStart w:id="32" w:name="_Toc134017652"/>
      <w:bookmarkStart w:id="33" w:name="_Toc119930690"/>
      <w:bookmarkStart w:id="34" w:name="_Toc146109793"/>
      <w:bookmarkStart w:id="35" w:name="_Toc72913286"/>
      <w:bookmarkStart w:id="36" w:name="_Toc120797050"/>
      <w:bookmarkStart w:id="37" w:name="_Toc121256467"/>
      <w:bookmarkStart w:id="38" w:name="_Toc59024084"/>
      <w:bookmarkStart w:id="39" w:name="_Toc119592313"/>
      <w:bookmarkStart w:id="40" w:name="_Toc134017904"/>
      <w:bookmarkStart w:id="41" w:name="_Toc70087134"/>
      <w:bookmarkStart w:id="42" w:name="_Toc59634334"/>
      <w:bookmarkStart w:id="43" w:name="_Toc124791091"/>
      <w:bookmarkStart w:id="44" w:name="_Toc147765244"/>
      <w:bookmarkStart w:id="45" w:name="_Toc123050878"/>
      <w:bookmarkStart w:id="46" w:name="_Toc60314210"/>
      <w:bookmarkStart w:id="47" w:name="_Toc26171128"/>
      <w:bookmarkStart w:id="48" w:name="_Toc363204377"/>
      <w:bookmarkStart w:id="49" w:name="_Toc129715357"/>
      <w:bookmarkStart w:id="50" w:name="_Toc363204269"/>
      <w:bookmarkStart w:id="51" w:name="_Toc53328930"/>
      <w:bookmarkStart w:id="52" w:name="_Toc356305674"/>
      <w:bookmarkStart w:id="53" w:name="_Toc76054528"/>
      <w:bookmarkStart w:id="54" w:name="_Toc517696210"/>
      <w:bookmarkStart w:id="55" w:name="_Toc44579015"/>
      <w:bookmarkStart w:id="56" w:name="_Toc127543151"/>
      <w:bookmarkStart w:id="57" w:name="_Toc133243666"/>
      <w:bookmarkStart w:id="58" w:name="_Toc55850448"/>
      <w:bookmarkStart w:id="59" w:name="_Toc144914722"/>
      <w:bookmarkStart w:id="60" w:name="_Toc328854245"/>
      <w:bookmarkStart w:id="61" w:name="_Toc88664492"/>
      <w:bookmarkStart w:id="62" w:name="_Toc73981172"/>
      <w:bookmarkStart w:id="63" w:name="_Toc119592186"/>
      <w:bookmarkStart w:id="64" w:name="_Toc119592627"/>
      <w:bookmarkStart w:id="65" w:name="_Toc47390389"/>
      <w:bookmarkStart w:id="66" w:name="_Toc128743490"/>
      <w:r>
        <w:rPr>
          <w:rFonts w:hint="eastAsia"/>
          <w:lang w:eastAsia="zh-Hans"/>
        </w:rPr>
        <w:t>保障本项目检验及病理系统稳定、高效运行，优化应用环境，提高、深化应用水平。贯彻高效率ITIL支持服务策略，提高服务效率与质量，着重于创新突破、稳定品质、落实管理及提高效率等方面。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14:paraId="44736567"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（一）</w:t>
      </w:r>
      <w:r>
        <w:rPr>
          <w:b/>
          <w:bCs/>
          <w:sz w:val="24"/>
        </w:rPr>
        <w:t>项目运维服务目标及原则</w:t>
      </w:r>
    </w:p>
    <w:p w14:paraId="30A468A8">
      <w:pPr>
        <w:pStyle w:val="5"/>
        <w:rPr>
          <w:lang w:eastAsia="zh-Hans"/>
        </w:rPr>
      </w:pPr>
      <w:bookmarkStart w:id="67" w:name="_Toc130549191"/>
      <w:bookmarkStart w:id="68" w:name="_Toc9079197"/>
      <w:bookmarkStart w:id="69" w:name="_Toc72913296"/>
      <w:bookmarkStart w:id="70" w:name="_Toc351625745"/>
      <w:bookmarkStart w:id="71" w:name="_Toc149059490"/>
      <w:bookmarkStart w:id="72" w:name="_Toc124791105"/>
      <w:bookmarkStart w:id="73" w:name="_Toc520806045"/>
      <w:r>
        <w:rPr>
          <w:rFonts w:hint="eastAsia"/>
        </w:rPr>
        <w:t>1.</w:t>
      </w:r>
      <w:r>
        <w:rPr>
          <w:rFonts w:hint="eastAsia"/>
          <w:lang w:eastAsia="zh-Hans"/>
        </w:rPr>
        <w:t>具体目标</w:t>
      </w:r>
      <w:bookmarkEnd w:id="67"/>
      <w:bookmarkEnd w:id="68"/>
      <w:bookmarkEnd w:id="69"/>
      <w:bookmarkEnd w:id="70"/>
      <w:bookmarkEnd w:id="71"/>
      <w:bookmarkEnd w:id="72"/>
      <w:bookmarkEnd w:id="73"/>
    </w:p>
    <w:p w14:paraId="31502083">
      <w:pPr>
        <w:pStyle w:val="5"/>
        <w:rPr>
          <w:lang w:eastAsia="zh-Hans"/>
        </w:rPr>
      </w:pPr>
      <w:r>
        <w:rPr>
          <w:rFonts w:hint="eastAsia"/>
          <w:lang w:eastAsia="zh-Hans"/>
        </w:rPr>
        <w:t>运维服务具体目标包括系统稳定、配置合理、操作娴熟、需求控制及高效能化。</w:t>
      </w:r>
    </w:p>
    <w:p w14:paraId="00C12359">
      <w:pPr>
        <w:pStyle w:val="5"/>
        <w:rPr>
          <w:lang w:eastAsia="zh-Hans"/>
        </w:rPr>
      </w:pPr>
      <w:bookmarkStart w:id="74" w:name="_Toc351625746"/>
      <w:bookmarkStart w:id="75" w:name="_Toc9079198"/>
      <w:bookmarkStart w:id="76" w:name="_Toc124791106"/>
      <w:bookmarkStart w:id="77" w:name="_Toc149059491"/>
      <w:bookmarkStart w:id="78" w:name="_Toc130549192"/>
      <w:bookmarkStart w:id="79" w:name="_Toc72913297"/>
      <w:bookmarkStart w:id="80" w:name="_Toc520806046"/>
      <w:r>
        <w:rPr>
          <w:rFonts w:hint="eastAsia"/>
        </w:rPr>
        <w:t>2.</w:t>
      </w:r>
      <w:r>
        <w:rPr>
          <w:rFonts w:hint="eastAsia"/>
          <w:lang w:eastAsia="zh-Hans"/>
        </w:rPr>
        <w:t>服务原则</w:t>
      </w:r>
      <w:bookmarkEnd w:id="74"/>
      <w:bookmarkEnd w:id="75"/>
      <w:bookmarkEnd w:id="76"/>
      <w:bookmarkEnd w:id="77"/>
      <w:bookmarkEnd w:id="78"/>
      <w:bookmarkEnd w:id="79"/>
      <w:bookmarkEnd w:id="80"/>
    </w:p>
    <w:p w14:paraId="4DD9A720">
      <w:pPr>
        <w:pStyle w:val="5"/>
        <w:rPr>
          <w:lang w:eastAsia="zh-Hans"/>
        </w:rPr>
      </w:pPr>
      <w:r>
        <w:rPr>
          <w:rFonts w:hint="eastAsia"/>
          <w:lang w:eastAsia="zh-Hans"/>
        </w:rPr>
        <w:t>统一性：统一归口医院项目信息系统管理部门管理，工作开展方式尽量依据医院工作规范执行。例如：工作时间方面，运维顾问早晚上班时间、国家节假日休假安排、年假等统一执行医院标准。</w:t>
      </w:r>
    </w:p>
    <w:p w14:paraId="31ED58B5">
      <w:pPr>
        <w:pStyle w:val="5"/>
        <w:rPr>
          <w:lang w:eastAsia="zh-Hans"/>
        </w:rPr>
      </w:pPr>
      <w:r>
        <w:rPr>
          <w:rFonts w:hint="eastAsia"/>
          <w:lang w:eastAsia="zh-Hans"/>
        </w:rPr>
        <w:t>规范性：严格遵守医院信息化相关管理规范、制度、办法及流程，提高日常运维服务工作效率与质量。</w:t>
      </w:r>
    </w:p>
    <w:p w14:paraId="7970E8AC">
      <w:pPr>
        <w:pStyle w:val="5"/>
        <w:rPr>
          <w:lang w:eastAsia="zh-Hans"/>
        </w:rPr>
      </w:pPr>
      <w:r>
        <w:rPr>
          <w:rFonts w:hint="eastAsia"/>
          <w:lang w:eastAsia="zh-Hans"/>
        </w:rPr>
        <w:t>主动性：把运维服务工作从简单的后台支持前移，通过问题、风险预防，向系统“零问题”目标迈进！</w:t>
      </w:r>
    </w:p>
    <w:p w14:paraId="7B9B1547">
      <w:pPr>
        <w:pStyle w:val="5"/>
        <w:rPr>
          <w:lang w:eastAsia="zh-Hans"/>
        </w:rPr>
      </w:pPr>
      <w:r>
        <w:rPr>
          <w:rFonts w:hint="eastAsia"/>
          <w:lang w:eastAsia="zh-Hans"/>
        </w:rPr>
        <w:t>动态性：随着医院业务经营环境、整体业务发展战略等方面条件的变化及时做出对应调整。</w:t>
      </w:r>
    </w:p>
    <w:p w14:paraId="078C3C4F">
      <w:pPr>
        <w:pStyle w:val="5"/>
        <w:rPr>
          <w:lang w:eastAsia="zh-Hans"/>
        </w:rPr>
      </w:pPr>
      <w:r>
        <w:rPr>
          <w:rFonts w:hint="eastAsia"/>
          <w:lang w:eastAsia="zh-Hans"/>
        </w:rPr>
        <w:t>专业性：构建基于最佳业务实践的运维服务体系，保证服务工作事项清晰、效率、可追溯，任何工作可记录、可分析、可改进。</w:t>
      </w:r>
    </w:p>
    <w:p w14:paraId="4F42E0A4">
      <w:pPr>
        <w:spacing w:line="360" w:lineRule="auto"/>
      </w:pPr>
      <w:bookmarkStart w:id="81" w:name="_Toc149059492"/>
      <w:bookmarkStart w:id="82" w:name="_Toc149119222"/>
      <w:r>
        <w:rPr>
          <w:rFonts w:hint="eastAsia"/>
          <w:b/>
          <w:bCs/>
          <w:sz w:val="24"/>
        </w:rPr>
        <w:t>（二）运维服务技术需求</w:t>
      </w:r>
    </w:p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81"/>
    <w:bookmarkEnd w:id="82"/>
    <w:p w14:paraId="53B0DEF3">
      <w:pPr>
        <w:pStyle w:val="5"/>
        <w:rPr>
          <w:lang w:eastAsia="zh-Hans"/>
        </w:rPr>
      </w:pPr>
      <w:r>
        <w:rPr>
          <w:rFonts w:hint="eastAsia"/>
          <w:lang w:eastAsia="zh-Hans"/>
        </w:rPr>
        <w:t>1.面向采购方所有院区提供7*24小时服务。</w:t>
      </w:r>
    </w:p>
    <w:p w14:paraId="4365F548">
      <w:pPr>
        <w:adjustRightInd w:val="0"/>
        <w:snapToGrid w:val="0"/>
        <w:spacing w:line="360" w:lineRule="auto"/>
        <w:ind w:firstLine="420" w:firstLineChars="200"/>
        <w:rPr>
          <w:lang w:eastAsia="zh-Hans"/>
        </w:rPr>
      </w:pPr>
      <w:r>
        <w:rPr>
          <w:rFonts w:hint="eastAsia"/>
          <w:lang w:eastAsia="zh-Hans"/>
        </w:rPr>
        <w:t>包括：各类使用问题进行及时排查处理；对采购方单位各科室工作人员进行应用系统使用操作指导；检验及病理系统使用过程中的问题受理、事务处理、故障排除；检验及病理系统的流程改造。通过定期巡检和排查工作，对维护性问题及时处理，对涉及系统BUG问题进行处理，做到尽早发现问题、尽快消除安全隐患、提前预防重大事故发生，从而保障采购方检验及病理系统安全稳定运行。定期到各院区各科室走访，了解实际使用中的问题，提出合理的流程优化及改进建议。</w:t>
      </w:r>
    </w:p>
    <w:p w14:paraId="397F9F4D">
      <w:pPr>
        <w:adjustRightInd w:val="0"/>
        <w:snapToGrid w:val="0"/>
        <w:spacing w:line="360" w:lineRule="auto"/>
        <w:ind w:firstLine="420" w:firstLineChars="200"/>
        <w:rPr>
          <w:lang w:eastAsia="zh-Hans"/>
        </w:rPr>
      </w:pPr>
      <w:r>
        <w:rPr>
          <w:rFonts w:hint="eastAsia"/>
          <w:lang w:eastAsia="zh-Hans"/>
        </w:rPr>
        <w:t>2.本地运维服务</w:t>
      </w:r>
    </w:p>
    <w:p w14:paraId="700F2622">
      <w:pPr>
        <w:adjustRightInd w:val="0"/>
        <w:snapToGrid w:val="0"/>
        <w:spacing w:line="360" w:lineRule="auto"/>
        <w:ind w:firstLine="420" w:firstLineChars="200"/>
        <w:rPr>
          <w:lang w:eastAsia="zh-Hans"/>
        </w:rPr>
      </w:pPr>
      <w:r>
        <w:rPr>
          <w:rFonts w:hint="eastAsia"/>
          <w:lang w:eastAsia="zh-Hans"/>
        </w:rPr>
        <w:t>免费维保期内，安排相关技术人员进行技术支持（根据项目需求安排人员配置），技术人员具备一定的行业工作经验，指导各科室使用系统，保障系统稳定、有序的为采购人服务,按照医院工作时间提供本地化售后服务。包括但不限于功能增强性维护等应用软件系统扩充升级（其中包括系统维护、跟踪检测、数据迁移等）、工作参数修改、数据字典维护、用户权限控制、操作口令或密码设置和修改、数据安全性操作、数据备份和恢复、故障排除、系统迁移、硬件现场维修等，保证软、硬件能够正常运行，主动发现问题并解决问题。</w:t>
      </w:r>
    </w:p>
    <w:p w14:paraId="1036EC67">
      <w:pPr>
        <w:adjustRightInd w:val="0"/>
        <w:snapToGrid w:val="0"/>
        <w:spacing w:line="360" w:lineRule="auto"/>
        <w:ind w:firstLine="420" w:firstLineChars="200"/>
        <w:rPr>
          <w:lang w:eastAsia="zh-Hans"/>
        </w:rPr>
      </w:pPr>
      <w:r>
        <w:rPr>
          <w:rFonts w:hint="eastAsia"/>
          <w:lang w:eastAsia="zh-Hans"/>
        </w:rPr>
        <w:t>3.其他技术服务方案</w:t>
      </w:r>
    </w:p>
    <w:p w14:paraId="2617DD3F">
      <w:pPr>
        <w:adjustRightInd w:val="0"/>
        <w:snapToGrid w:val="0"/>
        <w:spacing w:line="360" w:lineRule="auto"/>
        <w:ind w:firstLine="420" w:firstLineChars="200"/>
        <w:rPr>
          <w:lang w:eastAsia="zh-Hans"/>
        </w:rPr>
      </w:pPr>
      <w:r>
        <w:rPr>
          <w:rFonts w:hint="eastAsia"/>
          <w:lang w:eastAsia="zh-Hans"/>
        </w:rPr>
        <w:t>在本次工程建设中和工程验收投入使用后，需配有专门的项目服务组，提供如下服务内容：</w:t>
      </w:r>
    </w:p>
    <w:p w14:paraId="7C8F8BB4">
      <w:pPr>
        <w:adjustRightInd w:val="0"/>
        <w:snapToGrid w:val="0"/>
        <w:spacing w:line="360" w:lineRule="auto"/>
        <w:ind w:firstLine="420" w:firstLineChars="200"/>
        <w:rPr>
          <w:lang w:eastAsia="zh-Hans"/>
        </w:rPr>
      </w:pPr>
      <w:r>
        <w:rPr>
          <w:rFonts w:hint="eastAsia"/>
          <w:lang w:eastAsia="zh-Hans"/>
        </w:rPr>
        <w:t>1）实施前技术服务：包括工程执行方案咨询和设计、设备检测、软件环境虚拟及数据字典准备和报告模板准备；</w:t>
      </w:r>
    </w:p>
    <w:p w14:paraId="29EF8615">
      <w:pPr>
        <w:adjustRightInd w:val="0"/>
        <w:snapToGrid w:val="0"/>
        <w:spacing w:line="360" w:lineRule="auto"/>
        <w:ind w:firstLine="420" w:firstLineChars="200"/>
        <w:rPr>
          <w:lang w:eastAsia="zh-Hans"/>
        </w:rPr>
      </w:pPr>
      <w:r>
        <w:rPr>
          <w:rFonts w:hint="eastAsia"/>
          <w:lang w:eastAsia="zh-Hans"/>
        </w:rPr>
        <w:t>2）实施中技术服务：包括安装、调试及工程指导——依据工程执行方案进行实施，并以此为客户培养出工程技术队伍。包括系统培训、基础知识教程培训、建立单独的服务档案，以保证提供的售后服务准确、周到、及时。</w:t>
      </w:r>
    </w:p>
    <w:p w14:paraId="64F799AF">
      <w:pPr>
        <w:adjustRightInd w:val="0"/>
        <w:snapToGrid w:val="0"/>
        <w:spacing w:line="360" w:lineRule="auto"/>
        <w:ind w:firstLine="420" w:firstLineChars="200"/>
        <w:rPr>
          <w:lang w:eastAsia="zh-Hans"/>
        </w:rPr>
      </w:pPr>
      <w:r>
        <w:rPr>
          <w:rFonts w:hint="eastAsia"/>
          <w:lang w:eastAsia="zh-Hans"/>
        </w:rPr>
        <w:t>3）验收后技术服务：维护期内，项目服务组人员留守——工程验收后，根据实际需要，委派工程技术人员在现场长期留守、零时间为客户提供技术服务，配合采取远程维护、电话及传真咨询、电子邮件和互联网远程支持等多种方式，共同进行。负责参数与性能的调整和维护工作。</w:t>
      </w:r>
    </w:p>
    <w:p w14:paraId="09CFC869">
      <w:pPr>
        <w:adjustRightInd w:val="0"/>
        <w:snapToGrid w:val="0"/>
        <w:spacing w:line="360" w:lineRule="auto"/>
        <w:ind w:firstLine="420" w:firstLineChars="200"/>
        <w:rPr>
          <w:lang w:eastAsia="zh-Hans"/>
        </w:rPr>
      </w:pPr>
      <w:r>
        <w:rPr>
          <w:rFonts w:hint="eastAsia"/>
          <w:lang w:eastAsia="zh-Hans"/>
        </w:rPr>
        <w:t>4）软件升级和客户化：根据实际情况实现软件客户化，与医院合作进行软件新功能等方面的开发。</w:t>
      </w:r>
    </w:p>
    <w:p w14:paraId="034824F6">
      <w:pPr>
        <w:adjustRightInd w:val="0"/>
        <w:snapToGrid w:val="0"/>
        <w:spacing w:line="360" w:lineRule="auto"/>
        <w:ind w:firstLine="420" w:firstLineChars="200"/>
        <w:rPr>
          <w:lang w:eastAsia="zh-Hans"/>
        </w:rPr>
      </w:pPr>
      <w:r>
        <w:rPr>
          <w:rFonts w:hint="eastAsia"/>
          <w:lang w:eastAsia="zh-Hans"/>
        </w:rPr>
        <w:t>4.提供远程运维服务、现场服务及回访服务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r>
        <w:rPr>
          <w:rFonts w:hint="eastAsia"/>
          <w:lang w:eastAsia="zh-Hans"/>
        </w:rPr>
        <w:t>。</w:t>
      </w:r>
    </w:p>
    <w:p w14:paraId="01BEA96B">
      <w:pPr>
        <w:adjustRightInd w:val="0"/>
        <w:snapToGrid w:val="0"/>
        <w:spacing w:line="360" w:lineRule="auto"/>
        <w:ind w:firstLine="420" w:firstLineChars="200"/>
        <w:rPr>
          <w:lang w:eastAsia="zh-Hans"/>
        </w:rPr>
      </w:pPr>
      <w:r>
        <w:rPr>
          <w:rFonts w:hint="eastAsia"/>
          <w:lang w:eastAsia="zh-Hans"/>
        </w:rPr>
        <w:t>5.提供专项定制开发服务，在硬件环境层、基础系统软件层、业务平台软件层及业务应用软件层的架构基础上，对新的业务需求进行专门定制化功能开发，包括专项开发需求报告及解决方案，专项定制开发内容测试报告，专项定制开发操作手册等。</w:t>
      </w:r>
    </w:p>
    <w:p w14:paraId="0A761C42">
      <w:pPr>
        <w:adjustRightInd w:val="0"/>
        <w:snapToGrid w:val="0"/>
        <w:spacing w:line="360" w:lineRule="auto"/>
        <w:ind w:firstLine="420" w:firstLineChars="200"/>
        <w:rPr>
          <w:lang w:eastAsia="zh-Hans"/>
        </w:rPr>
      </w:pPr>
      <w:r>
        <w:rPr>
          <w:rFonts w:hint="eastAsia"/>
          <w:lang w:eastAsia="zh-Hans"/>
        </w:rPr>
        <w:t>6.提供更正性维护、适应型维护、完善性维护及预防性维护等系统调整服务。</w:t>
      </w:r>
    </w:p>
    <w:p w14:paraId="7026C4CB">
      <w:pPr>
        <w:adjustRightInd w:val="0"/>
        <w:snapToGrid w:val="0"/>
        <w:spacing w:line="360" w:lineRule="auto"/>
        <w:ind w:firstLine="420" w:firstLineChars="200"/>
        <w:rPr>
          <w:lang w:eastAsia="zh-Hans"/>
        </w:rPr>
      </w:pPr>
      <w:bookmarkStart w:id="83" w:name="_Toc149059520"/>
      <w:bookmarkStart w:id="84" w:name="_Toc148961268"/>
      <w:bookmarkStart w:id="85" w:name="_Toc149119238"/>
      <w:r>
        <w:rPr>
          <w:rFonts w:hint="eastAsia"/>
          <w:lang w:eastAsia="zh-Hans"/>
        </w:rPr>
        <w:t>7.能够使用四级故障等级来定义系统故障的严重程度，对故障等级进行划分，并具备突发事件应急处理流程，根据突发事件级别配备相应的人员类型，进行紧急故障处理，实施应急措施。</w:t>
      </w:r>
    </w:p>
    <w:p w14:paraId="1A589A80">
      <w:pPr>
        <w:adjustRightInd w:val="0"/>
        <w:snapToGrid w:val="0"/>
        <w:spacing w:line="360" w:lineRule="auto"/>
        <w:ind w:firstLine="420" w:firstLineChars="200"/>
        <w:rPr>
          <w:lang w:eastAsia="zh-Hans"/>
        </w:rPr>
      </w:pPr>
      <w:r>
        <w:rPr>
          <w:rFonts w:hint="eastAsia"/>
          <w:lang w:eastAsia="zh-Hans"/>
        </w:rPr>
        <w:t>8.投标人具备完善的保障服务能力，能够做好网络机房服务器的密码保护工作，防止非本单位人员操作数据库。定期对数据进行检查，对预期发生的问题做好事先防范。建立健全重要数据及时备份和灾难性数据恢复机制，对服务器的数据进行定期备份，并刻录在不可擦写的介质里进行保存。</w:t>
      </w:r>
    </w:p>
    <w:p w14:paraId="542BE06A">
      <w:pPr>
        <w:adjustRightInd w:val="0"/>
        <w:snapToGrid w:val="0"/>
        <w:spacing w:line="360" w:lineRule="auto"/>
        <w:ind w:firstLine="420" w:firstLineChars="200"/>
        <w:rPr>
          <w:lang w:eastAsia="zh-Hans"/>
        </w:rPr>
      </w:pPr>
      <w:r>
        <w:rPr>
          <w:rFonts w:hint="eastAsia"/>
          <w:lang w:eastAsia="zh-Hans"/>
        </w:rPr>
        <w:t>9.支持提供保障措施，保障医院系统建设从建设期到运维期平稳过渡。</w:t>
      </w:r>
    </w:p>
    <w:p w14:paraId="324D1A06">
      <w:pPr>
        <w:adjustRightInd w:val="0"/>
        <w:snapToGrid w:val="0"/>
        <w:spacing w:line="360" w:lineRule="auto"/>
        <w:ind w:firstLine="420" w:firstLineChars="200"/>
        <w:rPr>
          <w:lang w:eastAsia="zh-Hans"/>
        </w:rPr>
      </w:pPr>
      <w:r>
        <w:rPr>
          <w:rFonts w:hint="eastAsia"/>
          <w:lang w:eastAsia="zh-Hans"/>
        </w:rPr>
        <w:t>10.人员支撑配备</w:t>
      </w:r>
      <w:bookmarkEnd w:id="83"/>
      <w:bookmarkEnd w:id="84"/>
      <w:bookmarkEnd w:id="85"/>
      <w:r>
        <w:rPr>
          <w:rFonts w:hint="eastAsia"/>
          <w:lang w:eastAsia="zh-Hans"/>
        </w:rPr>
        <w:t>：建立专职售后服务组（QQ、微信或其它在线支持）解答采购人在使用中遇到的问题，及时为采购人提出解决问题的建议，提供7*24小时全天候技术服务。按照对采购方实际工作的影响程度，满足日常运维、程序BUG修复、接口对接、本地化修改四个方面内容。</w:t>
      </w:r>
    </w:p>
    <w:p w14:paraId="3BF343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595ED0"/>
    <w:multiLevelType w:val="singleLevel"/>
    <w:tmpl w:val="F5595ED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797EE7E"/>
    <w:multiLevelType w:val="singleLevel"/>
    <w:tmpl w:val="4797EE7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F9A44B6"/>
    <w:multiLevelType w:val="multilevel"/>
    <w:tmpl w:val="6F9A44B6"/>
    <w:lvl w:ilvl="0" w:tentative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isLgl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21"/>
      <w:isLgl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pStyle w:val="18"/>
      <w:isLgl/>
      <w:lvlText w:val="%1.%2.%3.%4"/>
      <w:lvlJc w:val="left"/>
      <w:pPr>
        <w:ind w:left="840" w:firstLine="0"/>
      </w:pPr>
      <w:rPr>
        <w:rFonts w:hint="eastAsia"/>
      </w:rPr>
    </w:lvl>
    <w:lvl w:ilvl="4" w:tentative="0">
      <w:start w:val="1"/>
      <w:numFmt w:val="decimal"/>
      <w:pStyle w:val="19"/>
      <w:isLgl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isLgl/>
      <w:lvlText w:val="%6、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（%7）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B0A"/>
    <w:rsid w:val="00136A59"/>
    <w:rsid w:val="00184AE2"/>
    <w:rsid w:val="00290C9A"/>
    <w:rsid w:val="00350F6E"/>
    <w:rsid w:val="00485FBB"/>
    <w:rsid w:val="005673F1"/>
    <w:rsid w:val="005D6331"/>
    <w:rsid w:val="005E2099"/>
    <w:rsid w:val="006F6B88"/>
    <w:rsid w:val="00717B0A"/>
    <w:rsid w:val="008028F2"/>
    <w:rsid w:val="00A82A66"/>
    <w:rsid w:val="00AF6AF4"/>
    <w:rsid w:val="00C52045"/>
    <w:rsid w:val="00CB6F7B"/>
    <w:rsid w:val="00DB355D"/>
    <w:rsid w:val="00E83FAA"/>
    <w:rsid w:val="00F535F1"/>
    <w:rsid w:val="00F9149B"/>
    <w:rsid w:val="06E6139F"/>
    <w:rsid w:val="0B103DEB"/>
    <w:rsid w:val="20DC3FE3"/>
    <w:rsid w:val="2DE91B48"/>
    <w:rsid w:val="39665332"/>
    <w:rsid w:val="3F1B7186"/>
    <w:rsid w:val="47E642ED"/>
    <w:rsid w:val="5F5C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4"/>
    <w:next w:val="1"/>
    <w:link w:val="15"/>
    <w:qFormat/>
    <w:uiPriority w:val="0"/>
    <w:pPr>
      <w:adjustRightInd w:val="0"/>
      <w:spacing w:before="340" w:after="330" w:line="578" w:lineRule="atLeast"/>
      <w:textAlignment w:val="baseline"/>
      <w:outlineLvl w:val="0"/>
    </w:pPr>
    <w:rPr>
      <w:bCs w:val="0"/>
      <w:kern w:val="44"/>
      <w:sz w:val="44"/>
      <w:szCs w:val="2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hAnsi="宋体" w:cs="宋体"/>
      <w:sz w:val="24"/>
      <w:lang w:val="zh-CN" w:bidi="zh-CN"/>
    </w:rPr>
  </w:style>
  <w:style w:type="paragraph" w:styleId="5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6">
    <w:name w:val="Body Text Indent"/>
    <w:basedOn w:val="1"/>
    <w:link w:val="16"/>
    <w:semiHidden/>
    <w:unhideWhenUsed/>
    <w:qFormat/>
    <w:uiPriority w:val="99"/>
    <w:pPr>
      <w:spacing w:after="120"/>
      <w:ind w:left="420" w:leftChars="200"/>
    </w:p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0">
    <w:name w:val="Body Text First Indent 2"/>
    <w:basedOn w:val="6"/>
    <w:next w:val="5"/>
    <w:link w:val="17"/>
    <w:unhideWhenUsed/>
    <w:qFormat/>
    <w:uiPriority w:val="99"/>
    <w:pPr>
      <w:spacing w:before="240" w:beforeLines="100" w:line="360" w:lineRule="auto"/>
      <w:ind w:left="0" w:leftChars="0" w:firstLine="480" w:firstLineChars="200"/>
    </w:pPr>
    <w:rPr>
      <w:color w:val="000000"/>
      <w:kern w:val="0"/>
    </w:rPr>
  </w:style>
  <w:style w:type="character" w:customStyle="1" w:styleId="13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14">
    <w:name w:val="页脚 字符"/>
    <w:basedOn w:val="12"/>
    <w:link w:val="7"/>
    <w:qFormat/>
    <w:uiPriority w:val="99"/>
    <w:rPr>
      <w:sz w:val="18"/>
      <w:szCs w:val="18"/>
    </w:rPr>
  </w:style>
  <w:style w:type="character" w:customStyle="1" w:styleId="15">
    <w:name w:val="标题 1 字符"/>
    <w:basedOn w:val="12"/>
    <w:link w:val="3"/>
    <w:qFormat/>
    <w:uiPriority w:val="0"/>
    <w:rPr>
      <w:rFonts w:ascii="Times New Roman" w:hAnsi="Times New Roman" w:eastAsia="宋体" w:cs="Times New Roman"/>
      <w:b/>
      <w:kern w:val="44"/>
      <w:sz w:val="44"/>
      <w:szCs w:val="20"/>
    </w:rPr>
  </w:style>
  <w:style w:type="character" w:customStyle="1" w:styleId="16">
    <w:name w:val="正文文本缩进 字符"/>
    <w:basedOn w:val="12"/>
    <w:link w:val="6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7">
    <w:name w:val="正文文本首行缩进 2 字符"/>
    <w:basedOn w:val="16"/>
    <w:link w:val="10"/>
    <w:qFormat/>
    <w:uiPriority w:val="99"/>
    <w:rPr>
      <w:rFonts w:ascii="Times New Roman" w:hAnsi="Times New Roman" w:eastAsia="宋体" w:cs="Times New Roman"/>
      <w:color w:val="000000"/>
      <w:kern w:val="0"/>
      <w:szCs w:val="24"/>
    </w:rPr>
  </w:style>
  <w:style w:type="paragraph" w:customStyle="1" w:styleId="18">
    <w:name w:val="电大标题4"/>
    <w:basedOn w:val="1"/>
    <w:next w:val="1"/>
    <w:qFormat/>
    <w:uiPriority w:val="0"/>
    <w:pPr>
      <w:keepNext/>
      <w:keepLines/>
      <w:numPr>
        <w:ilvl w:val="3"/>
        <w:numId w:val="1"/>
      </w:numPr>
      <w:spacing w:before="100" w:after="100"/>
      <w:jc w:val="left"/>
      <w:outlineLvl w:val="3"/>
    </w:pPr>
    <w:rPr>
      <w:rFonts w:asciiTheme="majorEastAsia" w:hAnsiTheme="majorEastAsia" w:eastAsiaTheme="majorEastAsia"/>
      <w:b/>
      <w:sz w:val="28"/>
      <w:szCs w:val="32"/>
    </w:rPr>
  </w:style>
  <w:style w:type="paragraph" w:customStyle="1" w:styleId="19">
    <w:name w:val="电大标题5"/>
    <w:basedOn w:val="1"/>
    <w:next w:val="1"/>
    <w:qFormat/>
    <w:uiPriority w:val="0"/>
    <w:pPr>
      <w:keepNext/>
      <w:keepLines/>
      <w:numPr>
        <w:ilvl w:val="4"/>
        <w:numId w:val="1"/>
      </w:numPr>
      <w:spacing w:before="100" w:after="100"/>
      <w:jc w:val="left"/>
      <w:outlineLvl w:val="4"/>
    </w:pPr>
    <w:rPr>
      <w:b/>
    </w:rPr>
  </w:style>
  <w:style w:type="paragraph" w:styleId="20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1">
    <w:name w:val="电大标题3"/>
    <w:basedOn w:val="1"/>
    <w:next w:val="1"/>
    <w:qFormat/>
    <w:uiPriority w:val="0"/>
    <w:pPr>
      <w:keepNext/>
      <w:keepLines/>
      <w:numPr>
        <w:ilvl w:val="2"/>
        <w:numId w:val="1"/>
      </w:numPr>
      <w:spacing w:before="200" w:after="200"/>
      <w:jc w:val="left"/>
      <w:outlineLvl w:val="2"/>
    </w:pPr>
    <w:rPr>
      <w:b/>
      <w:sz w:val="28"/>
    </w:rPr>
  </w:style>
  <w:style w:type="character" w:customStyle="1" w:styleId="22">
    <w:name w:val="标题 3 字符"/>
    <w:basedOn w:val="12"/>
    <w:link w:val="4"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paragraph" w:customStyle="1" w:styleId="23">
    <w:name w:val="样式1"/>
    <w:basedOn w:val="24"/>
    <w:qFormat/>
    <w:uiPriority w:val="0"/>
  </w:style>
  <w:style w:type="paragraph" w:customStyle="1" w:styleId="24">
    <w:name w:val="正文1"/>
    <w:basedOn w:val="1"/>
    <w:qFormat/>
    <w:uiPriority w:val="99"/>
    <w:pPr>
      <w:ind w:firstLine="708" w:firstLineChars="236"/>
    </w:pPr>
    <w:rPr>
      <w:rFonts w:ascii="仿宋_GB2312" w:cs="仿宋_GB231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2075</Words>
  <Characters>2114</Characters>
  <Lines>15</Lines>
  <Paragraphs>4</Paragraphs>
  <TotalTime>1</TotalTime>
  <ScaleCrop>false</ScaleCrop>
  <LinksUpToDate>false</LinksUpToDate>
  <CharactersWithSpaces>2119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2026-01-16T08:57:00Z</dcterms:created>
  <dc:creator>余俊豪</dc:creator>
  <cp:lastModifiedBy>张梦媛</cp:lastModifiedBy>
  <dcterms:modified xsi:type="dcterms:W3CDTF">2026-01-16T09:03:30Z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eyJoZGlkIjoiMmYyNzJhMjNmMmIyN2M4MzM5MGI4Y2E4MDk4MzBkOGYiLCJ1c2VySWQiOiIxNTYxNjkyNjAxIn0=</vt:lpwstr>
  </property>
  <property fmtid="{D5CDD505-2E9C-101B-9397-08002B2CF9AE}" pid="3" name="KSOProductBuildVer">
    <vt:lpwstr>2052-12.1.0.24657</vt:lpwstr>
  </property>
  <property fmtid="{D5CDD505-2E9C-101B-9397-08002B2CF9AE}" pid="4" name="ICV">
    <vt:lpwstr>0552D4EC95BE4FA9B075A70BAB867B9C_12</vt:lpwstr>
  </property>
</Properties>
</file>