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00EA">
      <w:bookmarkStart w:id="0" w:name="_Toc28625"/>
      <w:bookmarkStart w:id="1" w:name="_Toc57803415"/>
      <w:bookmarkStart w:id="2" w:name="_Toc1444"/>
    </w:p>
    <w:p w14:paraId="1186CB22">
      <w:pPr>
        <w:pStyle w:val="2"/>
        <w:spacing w:before="0" w:after="0" w:line="240" w:lineRule="auto"/>
        <w:jc w:val="center"/>
        <w:rPr>
          <w:b w:val="0"/>
          <w:bCs/>
          <w:kern w:val="0"/>
          <w:sz w:val="32"/>
          <w:szCs w:val="32"/>
        </w:rPr>
      </w:pPr>
      <w:bookmarkStart w:id="3" w:name="_GoBack"/>
      <w:bookmarkEnd w:id="3"/>
      <w:r>
        <w:rPr>
          <w:sz w:val="32"/>
          <w:szCs w:val="32"/>
        </w:rPr>
        <w:t xml:space="preserve">  采购需求</w:t>
      </w:r>
      <w:bookmarkEnd w:id="0"/>
      <w:bookmarkEnd w:id="1"/>
      <w:bookmarkEnd w:id="2"/>
    </w:p>
    <w:p w14:paraId="69565685">
      <w:pPr>
        <w:spacing w:line="360" w:lineRule="auto"/>
        <w:rPr>
          <w:sz w:val="24"/>
        </w:rPr>
      </w:pPr>
    </w:p>
    <w:p w14:paraId="3F09A807">
      <w:pPr>
        <w:numPr>
          <w:ilvl w:val="0"/>
          <w:numId w:val="1"/>
        </w:numPr>
        <w:spacing w:line="360" w:lineRule="auto"/>
        <w:rPr>
          <w:b/>
          <w:bCs/>
          <w:sz w:val="24"/>
          <w:szCs w:val="32"/>
        </w:rPr>
      </w:pPr>
      <w:r>
        <w:rPr>
          <w:rFonts w:hint="eastAsia"/>
          <w:b/>
          <w:bCs/>
          <w:sz w:val="24"/>
          <w:szCs w:val="32"/>
        </w:rPr>
        <w:t>采购需求一览表</w:t>
      </w:r>
    </w:p>
    <w:tbl>
      <w:tblPr>
        <w:tblStyle w:val="8"/>
        <w:tblW w:w="4452"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3"/>
        <w:gridCol w:w="1867"/>
        <w:gridCol w:w="1876"/>
        <w:gridCol w:w="1389"/>
        <w:gridCol w:w="1633"/>
      </w:tblGrid>
      <w:tr w14:paraId="34000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543" w:type="pct"/>
            <w:tcBorders>
              <w:tl2br w:val="nil"/>
              <w:tr2bl w:val="nil"/>
            </w:tcBorders>
            <w:vAlign w:val="center"/>
          </w:tcPr>
          <w:p w14:paraId="5B9DA4CD">
            <w:pPr>
              <w:jc w:val="center"/>
              <w:rPr>
                <w:b/>
                <w:bCs/>
                <w:sz w:val="24"/>
              </w:rPr>
            </w:pPr>
            <w:r>
              <w:rPr>
                <w:b/>
                <w:bCs/>
                <w:sz w:val="24"/>
              </w:rPr>
              <w:t>包号</w:t>
            </w:r>
          </w:p>
        </w:tc>
        <w:tc>
          <w:tcPr>
            <w:tcW w:w="1230" w:type="pct"/>
            <w:tcBorders>
              <w:tl2br w:val="nil"/>
              <w:tr2bl w:val="nil"/>
            </w:tcBorders>
            <w:vAlign w:val="center"/>
          </w:tcPr>
          <w:p w14:paraId="7506BA48">
            <w:pPr>
              <w:jc w:val="center"/>
              <w:rPr>
                <w:b/>
                <w:bCs/>
                <w:sz w:val="24"/>
              </w:rPr>
            </w:pPr>
            <w:r>
              <w:rPr>
                <w:b/>
                <w:bCs/>
                <w:sz w:val="24"/>
              </w:rPr>
              <w:t>包名</w:t>
            </w:r>
          </w:p>
        </w:tc>
        <w:tc>
          <w:tcPr>
            <w:tcW w:w="1236" w:type="pct"/>
            <w:tcBorders>
              <w:tl2br w:val="nil"/>
              <w:tr2bl w:val="nil"/>
            </w:tcBorders>
            <w:vAlign w:val="center"/>
          </w:tcPr>
          <w:p w14:paraId="1D920605">
            <w:pPr>
              <w:jc w:val="center"/>
              <w:rPr>
                <w:b/>
                <w:bCs/>
                <w:sz w:val="24"/>
              </w:rPr>
            </w:pPr>
            <w:r>
              <w:rPr>
                <w:b/>
                <w:bCs/>
                <w:sz w:val="24"/>
              </w:rPr>
              <w:t>品目名称</w:t>
            </w:r>
          </w:p>
        </w:tc>
        <w:tc>
          <w:tcPr>
            <w:tcW w:w="915" w:type="pct"/>
            <w:tcBorders>
              <w:tl2br w:val="nil"/>
              <w:tr2bl w:val="nil"/>
            </w:tcBorders>
            <w:vAlign w:val="center"/>
          </w:tcPr>
          <w:p w14:paraId="7264F53F">
            <w:pPr>
              <w:jc w:val="center"/>
              <w:rPr>
                <w:b/>
                <w:bCs/>
                <w:sz w:val="24"/>
              </w:rPr>
            </w:pPr>
            <w:r>
              <w:rPr>
                <w:b/>
                <w:bCs/>
                <w:sz w:val="24"/>
              </w:rPr>
              <w:t>数量</w:t>
            </w:r>
          </w:p>
        </w:tc>
        <w:tc>
          <w:tcPr>
            <w:tcW w:w="1076" w:type="pct"/>
            <w:tcBorders>
              <w:tl2br w:val="nil"/>
              <w:tr2bl w:val="nil"/>
            </w:tcBorders>
            <w:vAlign w:val="center"/>
          </w:tcPr>
          <w:p w14:paraId="05AEC61E">
            <w:pPr>
              <w:jc w:val="center"/>
              <w:rPr>
                <w:b/>
                <w:bCs/>
                <w:sz w:val="24"/>
              </w:rPr>
            </w:pPr>
            <w:r>
              <w:rPr>
                <w:b/>
                <w:bCs/>
                <w:sz w:val="24"/>
              </w:rPr>
              <w:t>采购</w:t>
            </w:r>
            <w:r>
              <w:rPr>
                <w:rFonts w:hint="eastAsia"/>
                <w:b/>
                <w:bCs/>
                <w:sz w:val="24"/>
              </w:rPr>
              <w:t>总</w:t>
            </w:r>
            <w:r>
              <w:rPr>
                <w:b/>
                <w:bCs/>
                <w:sz w:val="24"/>
              </w:rPr>
              <w:t>预算</w:t>
            </w:r>
          </w:p>
        </w:tc>
      </w:tr>
      <w:tr w14:paraId="2D7BEC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3" w:type="pct"/>
            <w:tcBorders>
              <w:tl2br w:val="nil"/>
              <w:tr2bl w:val="nil"/>
            </w:tcBorders>
            <w:vAlign w:val="center"/>
          </w:tcPr>
          <w:p w14:paraId="3EFE355A">
            <w:pPr>
              <w:jc w:val="center"/>
              <w:rPr>
                <w:sz w:val="24"/>
              </w:rPr>
            </w:pPr>
            <w:r>
              <w:rPr>
                <w:rFonts w:hint="eastAsia"/>
                <w:sz w:val="24"/>
              </w:rPr>
              <w:t>1</w:t>
            </w:r>
          </w:p>
        </w:tc>
        <w:tc>
          <w:tcPr>
            <w:tcW w:w="1230" w:type="pct"/>
            <w:tcBorders>
              <w:tl2br w:val="nil"/>
              <w:tr2bl w:val="nil"/>
            </w:tcBorders>
            <w:vAlign w:val="center"/>
          </w:tcPr>
          <w:p w14:paraId="1F314A0A">
            <w:pPr>
              <w:jc w:val="center"/>
              <w:rPr>
                <w:sz w:val="24"/>
              </w:rPr>
            </w:pPr>
            <w:r>
              <w:rPr>
                <w:rFonts w:hint="eastAsia"/>
                <w:sz w:val="24"/>
                <w:lang w:eastAsia="zh-CN"/>
              </w:rPr>
              <w:t>国家医保信息平台智能监管系统事前提醒功能应用接入HIS改造</w:t>
            </w:r>
            <w:r>
              <w:rPr>
                <w:rFonts w:hint="eastAsia"/>
                <w:sz w:val="24"/>
              </w:rPr>
              <w:t>服务</w:t>
            </w:r>
          </w:p>
        </w:tc>
        <w:tc>
          <w:tcPr>
            <w:tcW w:w="1236" w:type="pct"/>
            <w:tcBorders>
              <w:tl2br w:val="nil"/>
              <w:tr2bl w:val="nil"/>
            </w:tcBorders>
            <w:vAlign w:val="center"/>
          </w:tcPr>
          <w:p w14:paraId="248E1702">
            <w:pPr>
              <w:jc w:val="center"/>
              <w:rPr>
                <w:sz w:val="24"/>
              </w:rPr>
            </w:pPr>
            <w:r>
              <w:rPr>
                <w:rFonts w:hint="eastAsia"/>
                <w:sz w:val="24"/>
                <w:lang w:eastAsia="zh-CN"/>
              </w:rPr>
              <w:t>国家医保信息平台智能监管系统事前提醒功能应用接入HIS改造</w:t>
            </w:r>
            <w:r>
              <w:rPr>
                <w:rFonts w:hint="eastAsia"/>
                <w:sz w:val="24"/>
              </w:rPr>
              <w:t>服务</w:t>
            </w:r>
          </w:p>
        </w:tc>
        <w:tc>
          <w:tcPr>
            <w:tcW w:w="915" w:type="pct"/>
            <w:tcBorders>
              <w:tl2br w:val="nil"/>
              <w:tr2bl w:val="nil"/>
            </w:tcBorders>
            <w:vAlign w:val="center"/>
          </w:tcPr>
          <w:p w14:paraId="6F2BCBA9">
            <w:pPr>
              <w:pStyle w:val="10"/>
              <w:tabs>
                <w:tab w:val="left" w:pos="445"/>
              </w:tabs>
              <w:ind w:firstLine="0" w:firstLineChars="0"/>
              <w:jc w:val="center"/>
              <w:rPr>
                <w:rFonts w:hint="eastAsia" w:ascii="宋体" w:hAnsi="宋体" w:cs="宋体"/>
                <w:sz w:val="24"/>
                <w:szCs w:val="24"/>
                <w:highlight w:val="yellow"/>
              </w:rPr>
            </w:pPr>
            <w:r>
              <w:rPr>
                <w:rFonts w:hint="eastAsia" w:ascii="宋体" w:hAnsi="宋体" w:cs="宋体"/>
                <w:sz w:val="24"/>
                <w:szCs w:val="24"/>
              </w:rPr>
              <w:t>1套</w:t>
            </w:r>
          </w:p>
        </w:tc>
        <w:tc>
          <w:tcPr>
            <w:tcW w:w="1076" w:type="pct"/>
            <w:tcBorders>
              <w:tl2br w:val="nil"/>
              <w:tr2bl w:val="nil"/>
            </w:tcBorders>
            <w:vAlign w:val="center"/>
          </w:tcPr>
          <w:p w14:paraId="111591FE">
            <w:pPr>
              <w:pStyle w:val="10"/>
              <w:tabs>
                <w:tab w:val="left" w:pos="445"/>
              </w:tabs>
              <w:ind w:firstLine="0" w:firstLineChars="0"/>
              <w:jc w:val="center"/>
              <w:rPr>
                <w:rFonts w:hint="eastAsia" w:ascii="宋体" w:hAnsi="宋体" w:cs="宋体"/>
                <w:sz w:val="24"/>
                <w:szCs w:val="24"/>
              </w:rPr>
            </w:pPr>
            <w:r>
              <w:rPr>
                <w:rFonts w:hint="eastAsia" w:ascii="宋体" w:hAnsi="宋体" w:cs="宋体"/>
                <w:sz w:val="24"/>
                <w:szCs w:val="24"/>
                <w:lang w:val="en-US" w:eastAsia="zh-CN"/>
              </w:rPr>
              <w:t>65</w:t>
            </w:r>
            <w:r>
              <w:rPr>
                <w:rFonts w:hint="eastAsia" w:ascii="宋体" w:hAnsi="宋体" w:cs="宋体"/>
                <w:sz w:val="24"/>
                <w:szCs w:val="24"/>
              </w:rPr>
              <w:t>,000.00</w:t>
            </w:r>
          </w:p>
        </w:tc>
      </w:tr>
    </w:tbl>
    <w:p w14:paraId="49780074">
      <w:pPr>
        <w:pStyle w:val="7"/>
        <w:ind w:firstLine="420"/>
        <w:rPr>
          <w:color w:val="auto"/>
        </w:rPr>
      </w:pPr>
      <w:r>
        <w:rPr>
          <w:color w:val="auto"/>
        </w:rPr>
        <w:t>1</w:t>
      </w:r>
      <w:r>
        <w:rPr>
          <w:rFonts w:hint="eastAsia"/>
          <w:color w:val="auto"/>
        </w:rPr>
        <w:t>、服务期限：</w:t>
      </w:r>
      <w:r>
        <w:rPr>
          <w:rFonts w:hint="eastAsia"/>
          <w:highlight w:val="yellow"/>
        </w:rPr>
        <w:t>自合同签订之日起</w:t>
      </w:r>
      <w:r>
        <w:rPr>
          <w:rFonts w:hint="eastAsia"/>
          <w:highlight w:val="yellow"/>
          <w:lang w:val="en-US" w:eastAsia="zh-CN"/>
        </w:rPr>
        <w:t>3</w:t>
      </w:r>
      <w:r>
        <w:rPr>
          <w:rFonts w:hint="eastAsia"/>
          <w:highlight w:val="yellow"/>
        </w:rPr>
        <w:t>个月内完成项目整体上线</w:t>
      </w:r>
      <w:r>
        <w:rPr>
          <w:rFonts w:hint="eastAsia"/>
        </w:rPr>
        <w:t>。</w:t>
      </w:r>
    </w:p>
    <w:p w14:paraId="7886C153">
      <w:pPr>
        <w:pStyle w:val="7"/>
        <w:ind w:firstLine="420"/>
        <w:rPr>
          <w:rFonts w:hint="default" w:eastAsia="宋体"/>
          <w:lang w:val="en-US" w:eastAsia="zh-CN"/>
        </w:rPr>
      </w:pPr>
      <w:r>
        <w:rPr>
          <w:rFonts w:hint="eastAsia"/>
        </w:rPr>
        <w:t>2、服务地点：</w:t>
      </w:r>
      <w:r>
        <w:rPr>
          <w:rFonts w:hint="eastAsia"/>
          <w:lang w:val="en-US" w:eastAsia="zh-CN"/>
        </w:rPr>
        <w:t>广东省生殖医院</w:t>
      </w:r>
    </w:p>
    <w:p w14:paraId="6AA23480">
      <w:pPr>
        <w:pStyle w:val="7"/>
        <w:ind w:firstLine="420"/>
      </w:pPr>
      <w:r>
        <w:rPr>
          <w:rFonts w:hint="eastAsia"/>
        </w:rPr>
        <w:t>3、付款方式：</w:t>
      </w:r>
    </w:p>
    <w:p w14:paraId="68816F6E">
      <w:pPr>
        <w:pStyle w:val="7"/>
        <w:ind w:firstLine="420"/>
        <w:rPr>
          <w:highlight w:val="yellow"/>
        </w:rPr>
      </w:pPr>
      <w:r>
        <w:rPr>
          <w:rFonts w:hint="eastAsia"/>
          <w:highlight w:val="yellow"/>
        </w:rPr>
        <w:t>（1）合同签署生效并采购人收到供应商开具的正式发票，30个工作日内，采购人向供应商支付合同总额的40</w:t>
      </w:r>
      <w:r>
        <w:rPr>
          <w:rFonts w:hint="eastAsia" w:ascii="宋体" w:hAnsi="宋体"/>
          <w:highlight w:val="yellow"/>
        </w:rPr>
        <w:t>%</w:t>
      </w:r>
      <w:r>
        <w:rPr>
          <w:rFonts w:hint="eastAsia"/>
          <w:highlight w:val="yellow"/>
        </w:rPr>
        <w:t>；</w:t>
      </w:r>
    </w:p>
    <w:p w14:paraId="218DC109">
      <w:pPr>
        <w:pStyle w:val="7"/>
        <w:ind w:firstLine="420"/>
      </w:pPr>
      <w:r>
        <w:rPr>
          <w:rFonts w:hint="eastAsia"/>
          <w:highlight w:val="yellow"/>
        </w:rPr>
        <w:t>（2）项目通过验收后，采购人向供应商支付合同总额的60%；</w:t>
      </w:r>
    </w:p>
    <w:p w14:paraId="33B61446">
      <w:pPr>
        <w:numPr>
          <w:ilvl w:val="0"/>
          <w:numId w:val="2"/>
        </w:numPr>
        <w:spacing w:line="360" w:lineRule="auto"/>
        <w:rPr>
          <w:b/>
          <w:bCs/>
          <w:sz w:val="24"/>
        </w:rPr>
      </w:pPr>
      <w:r>
        <w:rPr>
          <w:b/>
          <w:bCs/>
          <w:sz w:val="24"/>
        </w:rPr>
        <w:t>服务内容</w:t>
      </w:r>
    </w:p>
    <w:p w14:paraId="0CD2CCC2">
      <w:pPr>
        <w:pStyle w:val="11"/>
        <w:spacing w:before="120" w:beforeLines="50" w:after="120" w:afterLines="50" w:line="360" w:lineRule="auto"/>
        <w:ind w:firstLine="482"/>
        <w:outlineLvl w:val="9"/>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项目概述</w:t>
      </w:r>
    </w:p>
    <w:p w14:paraId="194CD943">
      <w:pPr>
        <w:pStyle w:val="11"/>
        <w:spacing w:before="120" w:beforeLines="50" w:after="120" w:afterLines="50" w:line="360" w:lineRule="auto"/>
        <w:ind w:firstLine="482"/>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2025年9月10日由广州市医疗服务中心发布了“广州市医疗保险服务中心关于进一步推进国家医保信息平台智能监管系统事前提醒功能应用的通知”，要求定点医药机构按照事前提醒接口规范(附件1)要求对信息系统接口完成改造、联调工作。</w:t>
      </w:r>
    </w:p>
    <w:p w14:paraId="2129ACFA">
      <w:pPr>
        <w:pStyle w:val="11"/>
        <w:spacing w:before="120" w:beforeLines="50" w:after="120" w:afterLines="50" w:line="360" w:lineRule="auto"/>
        <w:ind w:firstLine="482"/>
        <w:outlineLvl w:val="9"/>
        <w:rPr>
          <w:rFonts w:hint="eastAsia" w:ascii="宋体" w:hAnsi="宋体" w:eastAsia="宋体" w:cs="宋体"/>
          <w:color w:val="000000"/>
          <w:sz w:val="21"/>
          <w:szCs w:val="21"/>
        </w:rPr>
      </w:pPr>
    </w:p>
    <w:p w14:paraId="1F4288DF">
      <w:pPr>
        <w:pStyle w:val="5"/>
      </w:pPr>
    </w:p>
    <w:p w14:paraId="32D2B8F7">
      <w:pPr>
        <w:pStyle w:val="11"/>
        <w:spacing w:before="120" w:beforeLines="50" w:after="120" w:afterLines="50" w:line="360" w:lineRule="auto"/>
        <w:ind w:left="142" w:firstLine="0" w:firstLineChars="0"/>
        <w:outlineLvl w:val="9"/>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sz w:val="24"/>
        </w:rPr>
        <w:t>▲</w:t>
      </w:r>
      <w:r>
        <w:rPr>
          <w:rFonts w:hint="eastAsia" w:ascii="宋体" w:hAnsi="宋体" w:eastAsia="宋体" w:cs="宋体"/>
          <w:b/>
          <w:bCs/>
          <w:color w:val="000000" w:themeColor="text1"/>
          <w14:textFill>
            <w14:solidFill>
              <w14:schemeClr w14:val="tx1"/>
            </w14:solidFill>
          </w14:textFill>
        </w:rPr>
        <w:t>软件系统详细功能要求</w:t>
      </w:r>
    </w:p>
    <w:tbl>
      <w:tblPr>
        <w:tblStyle w:val="8"/>
        <w:tblpPr w:leftFromText="180" w:rightFromText="180" w:vertAnchor="text" w:horzAnchor="page" w:tblpX="1297" w:tblpY="594"/>
        <w:tblOverlap w:val="never"/>
        <w:tblW w:w="9595" w:type="dxa"/>
        <w:tblInd w:w="0" w:type="dxa"/>
        <w:tblLayout w:type="fixed"/>
        <w:tblCellMar>
          <w:top w:w="0" w:type="dxa"/>
          <w:left w:w="108" w:type="dxa"/>
          <w:bottom w:w="0" w:type="dxa"/>
          <w:right w:w="108" w:type="dxa"/>
        </w:tblCellMar>
      </w:tblPr>
      <w:tblGrid>
        <w:gridCol w:w="815"/>
        <w:gridCol w:w="2720"/>
        <w:gridCol w:w="6060"/>
      </w:tblGrid>
      <w:tr w14:paraId="3C784413">
        <w:tblPrEx>
          <w:tblCellMar>
            <w:top w:w="0" w:type="dxa"/>
            <w:left w:w="108" w:type="dxa"/>
            <w:bottom w:w="0" w:type="dxa"/>
            <w:right w:w="108" w:type="dxa"/>
          </w:tblCellMar>
        </w:tblPrEx>
        <w:trPr>
          <w:trHeight w:val="63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FB898">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DCB26">
            <w:pPr>
              <w:spacing w:line="360" w:lineRule="auto"/>
              <w:jc w:val="center"/>
              <w:rPr>
                <w:rFonts w:hint="eastAsia" w:ascii="宋体" w:hAnsi="宋体" w:eastAsia="宋体" w:cs="宋体"/>
                <w:b/>
                <w:bCs/>
                <w:szCs w:val="21"/>
              </w:rPr>
            </w:pPr>
            <w:r>
              <w:rPr>
                <w:rFonts w:hint="eastAsia" w:ascii="宋体" w:hAnsi="宋体" w:eastAsia="宋体" w:cs="宋体"/>
                <w:b/>
                <w:bCs/>
                <w:szCs w:val="21"/>
              </w:rPr>
              <w:t>工作项</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74B0F">
            <w:pPr>
              <w:spacing w:line="360" w:lineRule="auto"/>
              <w:jc w:val="center"/>
              <w:rPr>
                <w:rFonts w:hint="eastAsia" w:ascii="宋体" w:hAnsi="宋体" w:eastAsia="宋体" w:cs="宋体"/>
                <w:b/>
                <w:bCs/>
                <w:szCs w:val="21"/>
              </w:rPr>
            </w:pPr>
            <w:r>
              <w:rPr>
                <w:rFonts w:hint="eastAsia" w:ascii="宋体" w:hAnsi="宋体" w:eastAsia="宋体" w:cs="宋体"/>
                <w:b/>
                <w:bCs/>
                <w:szCs w:val="21"/>
              </w:rPr>
              <w:t>技术参数</w:t>
            </w:r>
          </w:p>
        </w:tc>
      </w:tr>
      <w:tr w14:paraId="32B3B091">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39532E">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2720" w:type="dxa"/>
            <w:tcBorders>
              <w:top w:val="single" w:color="000000" w:sz="4" w:space="0"/>
              <w:left w:val="single" w:color="000000" w:sz="4" w:space="0"/>
              <w:bottom w:val="single" w:color="000000" w:sz="4" w:space="0"/>
              <w:right w:val="single" w:color="000000" w:sz="4" w:space="0"/>
            </w:tcBorders>
            <w:noWrap/>
            <w:vAlign w:val="center"/>
          </w:tcPr>
          <w:p w14:paraId="2F57E5FE">
            <w:pPr>
              <w:widowControl/>
              <w:jc w:val="center"/>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系统设计</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70B12184">
            <w:pPr>
              <w:widowControl/>
              <w:jc w:val="left"/>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对接及业务逻辑调整方案设计</w:t>
            </w:r>
          </w:p>
        </w:tc>
      </w:tr>
      <w:tr w14:paraId="57382EF1">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AF58E9">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2720" w:type="dxa"/>
            <w:vMerge w:val="restart"/>
            <w:tcBorders>
              <w:top w:val="single" w:color="000000" w:sz="4" w:space="0"/>
              <w:left w:val="single" w:color="000000" w:sz="4" w:space="0"/>
              <w:right w:val="single" w:color="000000" w:sz="4" w:space="0"/>
            </w:tcBorders>
            <w:noWrap/>
            <w:vAlign w:val="center"/>
          </w:tcPr>
          <w:p w14:paraId="69BA9A04">
            <w:pPr>
              <w:widowControl/>
              <w:jc w:val="center"/>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门诊医生</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11DF4B34">
            <w:pPr>
              <w:widowControl/>
              <w:jc w:val="left"/>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1、【3101】明细审核事前分析服务接口改造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1）保存每次接口调用的调用日志，用大字段记录出入参信息</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2）解析接口出参违规信息并保存到违规记录表中</w:t>
            </w:r>
          </w:p>
        </w:tc>
      </w:tr>
      <w:tr w14:paraId="3F683E05">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08E7D1">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2720" w:type="dxa"/>
            <w:vMerge w:val="continue"/>
            <w:tcBorders>
              <w:left w:val="single" w:color="000000" w:sz="4" w:space="0"/>
              <w:bottom w:val="single" w:color="000000" w:sz="4" w:space="0"/>
              <w:right w:val="single" w:color="000000" w:sz="4" w:space="0"/>
            </w:tcBorders>
            <w:noWrap/>
            <w:vAlign w:val="center"/>
          </w:tcPr>
          <w:p w14:paraId="59243B9B">
            <w:pPr>
              <w:widowControl/>
              <w:jc w:val="center"/>
              <w:textAlignment w:val="center"/>
              <w:rPr>
                <w:rFonts w:hint="eastAsia" w:ascii="宋体" w:hAnsi="宋体" w:eastAsia="宋体" w:cs="宋体"/>
                <w:kern w:val="0"/>
                <w:szCs w:val="21"/>
                <w:lang w:val="en-US" w:eastAsia="zh-CN"/>
              </w:rPr>
            </w:pP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6B65FB25">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【3103】事前提醒服务反馈服务接口改造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1）更新违规记录处理结果</w:t>
            </w:r>
          </w:p>
        </w:tc>
      </w:tr>
      <w:tr w14:paraId="455C0523">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60B649">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2720" w:type="dxa"/>
            <w:vMerge w:val="restart"/>
            <w:tcBorders>
              <w:top w:val="single" w:color="000000" w:sz="4" w:space="0"/>
              <w:left w:val="single" w:color="000000" w:sz="4" w:space="0"/>
              <w:right w:val="single" w:color="000000" w:sz="4" w:space="0"/>
            </w:tcBorders>
            <w:noWrap/>
            <w:vAlign w:val="center"/>
          </w:tcPr>
          <w:p w14:paraId="494B3544">
            <w:pPr>
              <w:widowControl/>
              <w:jc w:val="center"/>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门诊收费</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545952A0">
            <w:pPr>
              <w:widowControl/>
              <w:jc w:val="left"/>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1、【3101】明细审核事前分析服务接口改造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1）保存每次接口调用的调用日志，用大字段记录出入参信息</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2）解析接口出参违规信息并保存到违规记录表中</w:t>
            </w:r>
          </w:p>
        </w:tc>
      </w:tr>
      <w:tr w14:paraId="4B629D90">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999CB6">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2720" w:type="dxa"/>
            <w:vMerge w:val="continue"/>
            <w:tcBorders>
              <w:left w:val="single" w:color="000000" w:sz="4" w:space="0"/>
              <w:bottom w:val="single" w:color="000000" w:sz="4" w:space="0"/>
              <w:right w:val="single" w:color="000000" w:sz="4" w:space="0"/>
            </w:tcBorders>
            <w:noWrap/>
            <w:vAlign w:val="center"/>
          </w:tcPr>
          <w:p w14:paraId="77049E22">
            <w:pPr>
              <w:widowControl/>
              <w:jc w:val="center"/>
              <w:textAlignment w:val="center"/>
              <w:rPr>
                <w:rFonts w:hint="eastAsia" w:ascii="宋体" w:hAnsi="宋体" w:eastAsia="宋体" w:cs="宋体"/>
                <w:kern w:val="0"/>
                <w:szCs w:val="21"/>
                <w:lang w:val="en-US" w:eastAsia="zh-CN"/>
              </w:rPr>
            </w:pP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16B6F5E0">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【3103】事前提醒服务反馈服务接口改造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1）更新违规记录处理结果</w:t>
            </w:r>
          </w:p>
        </w:tc>
      </w:tr>
      <w:tr w14:paraId="4F2F7591">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40B51C">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2720" w:type="dxa"/>
            <w:vMerge w:val="restart"/>
            <w:tcBorders>
              <w:top w:val="single" w:color="000000" w:sz="4" w:space="0"/>
              <w:left w:val="single" w:color="000000" w:sz="4" w:space="0"/>
              <w:right w:val="single" w:color="000000" w:sz="4" w:space="0"/>
            </w:tcBorders>
            <w:noWrap/>
            <w:vAlign w:val="center"/>
          </w:tcPr>
          <w:p w14:paraId="3F21B84B">
            <w:pPr>
              <w:widowControl/>
              <w:jc w:val="center"/>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住院医生</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3E9401DE">
            <w:pPr>
              <w:widowControl/>
              <w:jc w:val="left"/>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1、【3101】明细审核事前分析服务接口改造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1）保存每次接口调用的调用日志，用大字段记录出入参信息</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2）解析接口出参违规信息并保存到违规记录表中</w:t>
            </w:r>
          </w:p>
        </w:tc>
      </w:tr>
      <w:tr w14:paraId="19D3C9F2">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957FB2">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2720" w:type="dxa"/>
            <w:vMerge w:val="continue"/>
            <w:tcBorders>
              <w:left w:val="single" w:color="000000" w:sz="4" w:space="0"/>
              <w:bottom w:val="single" w:color="000000" w:sz="4" w:space="0"/>
              <w:right w:val="single" w:color="000000" w:sz="4" w:space="0"/>
            </w:tcBorders>
            <w:noWrap/>
            <w:vAlign w:val="center"/>
          </w:tcPr>
          <w:p w14:paraId="4C08E8FA">
            <w:pPr>
              <w:widowControl/>
              <w:jc w:val="center"/>
              <w:textAlignment w:val="center"/>
              <w:rPr>
                <w:rFonts w:hint="eastAsia" w:ascii="宋体" w:hAnsi="宋体" w:eastAsia="宋体" w:cs="宋体"/>
                <w:kern w:val="0"/>
                <w:szCs w:val="21"/>
                <w:lang w:val="en-US" w:eastAsia="zh-CN"/>
              </w:rPr>
            </w:pP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475DB294">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【3103】事前提醒服务反馈服务接口改造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1）更新违规记录处理结果</w:t>
            </w:r>
          </w:p>
        </w:tc>
      </w:tr>
      <w:tr w14:paraId="742EB86E">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182B1D">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p>
        </w:tc>
        <w:tc>
          <w:tcPr>
            <w:tcW w:w="2720" w:type="dxa"/>
            <w:vMerge w:val="restart"/>
            <w:tcBorders>
              <w:top w:val="single" w:color="000000" w:sz="4" w:space="0"/>
              <w:left w:val="single" w:color="000000" w:sz="4" w:space="0"/>
              <w:right w:val="single" w:color="000000" w:sz="4" w:space="0"/>
            </w:tcBorders>
            <w:noWrap/>
            <w:vAlign w:val="center"/>
          </w:tcPr>
          <w:p w14:paraId="5FC08C9B">
            <w:pPr>
              <w:widowControl/>
              <w:jc w:val="center"/>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住院收费</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0E56FB46">
            <w:pPr>
              <w:widowControl/>
              <w:jc w:val="left"/>
              <w:textAlignment w:val="center"/>
              <w:rPr>
                <w:rFonts w:hint="eastAsia" w:ascii="宋体" w:hAnsi="宋体" w:eastAsia="宋体" w:cs="宋体"/>
                <w:kern w:val="0"/>
                <w:szCs w:val="21"/>
                <w:lang w:val="en-US" w:eastAsia="zh-CN"/>
              </w:rPr>
            </w:pPr>
            <w:r>
              <w:rPr>
                <w:rFonts w:hint="default" w:ascii="宋体" w:hAnsi="宋体" w:eastAsia="宋体" w:cs="宋体"/>
                <w:color w:val="000000"/>
                <w:kern w:val="0"/>
                <w:sz w:val="21"/>
                <w:szCs w:val="21"/>
                <w:lang w:val="en-US" w:eastAsia="zh-CN" w:bidi="ar"/>
              </w:rPr>
              <w:t>1、【3101】明细审核事前分析服务接口改造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1）保存每次接口调用的调用日志，用大字段记录出入参信息</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2）解析接口出参违规信息并保存到违规记录表中</w:t>
            </w:r>
          </w:p>
        </w:tc>
      </w:tr>
      <w:tr w14:paraId="156F30C5">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78203D">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2720" w:type="dxa"/>
            <w:vMerge w:val="continue"/>
            <w:tcBorders>
              <w:left w:val="single" w:color="000000" w:sz="4" w:space="0"/>
              <w:bottom w:val="single" w:color="000000" w:sz="4" w:space="0"/>
              <w:right w:val="single" w:color="000000" w:sz="4" w:space="0"/>
            </w:tcBorders>
            <w:noWrap/>
            <w:vAlign w:val="center"/>
          </w:tcPr>
          <w:p w14:paraId="3AB6ED62">
            <w:pPr>
              <w:widowControl/>
              <w:jc w:val="center"/>
              <w:textAlignment w:val="center"/>
              <w:rPr>
                <w:rFonts w:hint="eastAsia" w:ascii="宋体" w:hAnsi="宋体" w:eastAsia="宋体" w:cs="宋体"/>
                <w:kern w:val="0"/>
                <w:szCs w:val="21"/>
                <w:lang w:val="en-US" w:eastAsia="zh-CN"/>
              </w:rPr>
            </w:pP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67C5B5E3">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【3103】事前提醒服务反馈服务接口改造</w:t>
            </w:r>
            <w:r>
              <w:rPr>
                <w:rFonts w:hint="default" w:ascii="宋体" w:hAnsi="宋体" w:eastAsia="宋体" w:cs="宋体"/>
                <w:color w:val="000000"/>
                <w:kern w:val="0"/>
                <w:sz w:val="21"/>
                <w:szCs w:val="21"/>
                <w:lang w:val="en-US" w:eastAsia="zh-CN" w:bidi="ar"/>
              </w:rPr>
              <w:br w:type="textWrapping"/>
            </w:r>
            <w:r>
              <w:rPr>
                <w:rFonts w:hint="default" w:ascii="宋体" w:hAnsi="宋体" w:eastAsia="宋体" w:cs="宋体"/>
                <w:color w:val="000000"/>
                <w:kern w:val="0"/>
                <w:sz w:val="21"/>
                <w:szCs w:val="21"/>
                <w:lang w:val="en-US" w:eastAsia="zh-CN" w:bidi="ar"/>
              </w:rPr>
              <w:t xml:space="preserve">      1）更新违规记录处理结果</w:t>
            </w:r>
          </w:p>
        </w:tc>
      </w:tr>
      <w:tr w14:paraId="62E6D32C">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5D9723">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2720" w:type="dxa"/>
            <w:vMerge w:val="restart"/>
            <w:tcBorders>
              <w:top w:val="single" w:color="000000" w:sz="4" w:space="0"/>
              <w:left w:val="single" w:color="000000" w:sz="4" w:space="0"/>
              <w:right w:val="single" w:color="000000" w:sz="4" w:space="0"/>
            </w:tcBorders>
            <w:noWrap/>
            <w:vAlign w:val="center"/>
          </w:tcPr>
          <w:p w14:paraId="5CDD6B8F">
            <w:pPr>
              <w:widowControl/>
              <w:jc w:val="center"/>
              <w:textAlignment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实施调试</w:t>
            </w: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30C84DAB">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1、</w:t>
            </w:r>
            <w:r>
              <w:rPr>
                <w:rFonts w:hint="default" w:ascii="宋体" w:hAnsi="宋体" w:eastAsia="宋体" w:cs="宋体"/>
                <w:color w:val="000000"/>
                <w:kern w:val="0"/>
                <w:sz w:val="21"/>
                <w:szCs w:val="21"/>
                <w:lang w:val="en-US" w:eastAsia="zh-CN" w:bidi="ar"/>
              </w:rPr>
              <w:t>实施系统升级、调试、维护【3101】</w:t>
            </w:r>
          </w:p>
        </w:tc>
      </w:tr>
      <w:tr w14:paraId="3AF4D019">
        <w:tblPrEx>
          <w:tblCellMar>
            <w:top w:w="0" w:type="dxa"/>
            <w:left w:w="108" w:type="dxa"/>
            <w:bottom w:w="0" w:type="dxa"/>
            <w:right w:w="108" w:type="dxa"/>
          </w:tblCellMar>
        </w:tblPrEx>
        <w:trPr>
          <w:trHeight w:val="52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03F030">
            <w:pPr>
              <w:tabs>
                <w:tab w:val="left" w:pos="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2720" w:type="dxa"/>
            <w:vMerge w:val="continue"/>
            <w:tcBorders>
              <w:left w:val="single" w:color="000000" w:sz="4" w:space="0"/>
              <w:bottom w:val="single" w:color="000000" w:sz="4" w:space="0"/>
              <w:right w:val="single" w:color="000000" w:sz="4" w:space="0"/>
            </w:tcBorders>
            <w:noWrap/>
            <w:vAlign w:val="center"/>
          </w:tcPr>
          <w:p w14:paraId="5B821C13">
            <w:pPr>
              <w:widowControl/>
              <w:jc w:val="center"/>
              <w:textAlignment w:val="center"/>
              <w:rPr>
                <w:rFonts w:hint="default" w:ascii="宋体" w:hAnsi="宋体" w:eastAsia="宋体" w:cs="宋体"/>
                <w:color w:val="000000"/>
                <w:kern w:val="0"/>
                <w:sz w:val="21"/>
                <w:szCs w:val="21"/>
                <w:lang w:val="en-US" w:eastAsia="zh-CN" w:bidi="ar"/>
              </w:rPr>
            </w:pPr>
          </w:p>
        </w:tc>
        <w:tc>
          <w:tcPr>
            <w:tcW w:w="6060" w:type="dxa"/>
            <w:tcBorders>
              <w:top w:val="single" w:color="000000" w:sz="4" w:space="0"/>
              <w:left w:val="single" w:color="000000" w:sz="4" w:space="0"/>
              <w:bottom w:val="single" w:color="000000" w:sz="4" w:space="0"/>
              <w:right w:val="single" w:color="000000" w:sz="4" w:space="0"/>
            </w:tcBorders>
            <w:noWrap w:val="0"/>
            <w:vAlign w:val="center"/>
          </w:tcPr>
          <w:p w14:paraId="1DFDDB65">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实施系统升级、调试、维护【3103】</w:t>
            </w:r>
          </w:p>
        </w:tc>
      </w:tr>
    </w:tbl>
    <w:p w14:paraId="22317F0D">
      <w:pPr>
        <w:pStyle w:val="11"/>
        <w:spacing w:before="120" w:beforeLines="50" w:after="120" w:afterLines="50" w:line="360" w:lineRule="auto"/>
        <w:ind w:left="142" w:firstLine="0" w:firstLineChars="0"/>
        <w:outlineLvl w:val="9"/>
        <w:rPr>
          <w:rFonts w:hint="eastAsia" w:ascii="宋体" w:hAnsi="宋体" w:eastAsia="宋体" w:cs="宋体"/>
          <w:b/>
          <w:bCs/>
          <w:color w:val="000000" w:themeColor="text1"/>
          <w14:textFill>
            <w14:solidFill>
              <w14:schemeClr w14:val="tx1"/>
            </w14:solidFill>
          </w14:textFill>
        </w:rPr>
      </w:pPr>
    </w:p>
    <w:p w14:paraId="38C4BED2">
      <w:pPr>
        <w:spacing w:line="240" w:lineRule="auto"/>
        <w:jc w:val="center"/>
        <w:outlineLvl w:val="9"/>
        <w:rPr>
          <w:sz w:val="32"/>
          <w:szCs w:val="32"/>
        </w:rPr>
      </w:pPr>
    </w:p>
    <w:p w14:paraId="23871602">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95ED0"/>
    <w:multiLevelType w:val="singleLevel"/>
    <w:tmpl w:val="F5595ED0"/>
    <w:lvl w:ilvl="0" w:tentative="0">
      <w:start w:val="2"/>
      <w:numFmt w:val="chineseCounting"/>
      <w:suff w:val="nothing"/>
      <w:lvlText w:val="%1、"/>
      <w:lvlJc w:val="left"/>
      <w:rPr>
        <w:rFonts w:hint="eastAsia"/>
      </w:rPr>
    </w:lvl>
  </w:abstractNum>
  <w:abstractNum w:abstractNumId="1">
    <w:nsid w:val="4797EE7E"/>
    <w:multiLevelType w:val="singleLevel"/>
    <w:tmpl w:val="4797EE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D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tLeast"/>
      <w:outlineLvl w:val="0"/>
    </w:pPr>
    <w:rPr>
      <w:kern w:val="44"/>
      <w:sz w:val="44"/>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60" w:lineRule="auto"/>
    </w:pPr>
    <w:rPr>
      <w:sz w:val="24"/>
      <w:szCs w:val="20"/>
    </w:rPr>
  </w:style>
  <w:style w:type="paragraph" w:styleId="6">
    <w:name w:val="Body Text Indent"/>
    <w:basedOn w:val="1"/>
    <w:next w:val="5"/>
    <w:qFormat/>
    <w:uiPriority w:val="0"/>
    <w:pPr>
      <w:adjustRightInd w:val="0"/>
      <w:snapToGrid w:val="0"/>
      <w:spacing w:line="400" w:lineRule="atLeast"/>
      <w:ind w:firstLine="480" w:firstLineChars="200"/>
    </w:pPr>
    <w:rPr>
      <w:rFonts w:ascii="仿宋_GB2312" w:hAnsi="宋体" w:eastAsia="仿宋_GB2312"/>
      <w:sz w:val="24"/>
    </w:rPr>
  </w:style>
  <w:style w:type="paragraph" w:styleId="7">
    <w:name w:val="Body Text First Indent 2"/>
    <w:basedOn w:val="6"/>
    <w:next w:val="4"/>
    <w:unhideWhenUsed/>
    <w:qFormat/>
    <w:uiPriority w:val="99"/>
    <w:pPr>
      <w:adjustRightInd/>
      <w:snapToGrid/>
      <w:spacing w:before="240" w:beforeLines="100" w:after="120" w:line="360" w:lineRule="auto"/>
    </w:pPr>
    <w:rPr>
      <w:rFonts w:ascii="Times New Roman" w:hAnsi="Times New Roman" w:eastAsia="宋体"/>
      <w:color w:val="000000"/>
      <w:kern w:val="0"/>
      <w:sz w:val="21"/>
    </w:rPr>
  </w:style>
  <w:style w:type="paragraph" w:styleId="10">
    <w:name w:val="List Paragraph"/>
    <w:basedOn w:val="1"/>
    <w:qFormat/>
    <w:uiPriority w:val="0"/>
    <w:pPr>
      <w:ind w:firstLine="420" w:firstLineChars="200"/>
    </w:pPr>
    <w:rPr>
      <w:rFonts w:ascii="Calibri" w:hAnsi="Calibri"/>
      <w:szCs w:val="22"/>
    </w:rPr>
  </w:style>
  <w:style w:type="paragraph" w:customStyle="1" w:styleId="11">
    <w:name w:val="列表段落1"/>
    <w:basedOn w:val="1"/>
    <w:qFormat/>
    <w:uiPriority w:val="1"/>
    <w:pPr>
      <w:ind w:firstLine="420" w:firstLineChars="200"/>
    </w:pPr>
    <w:rPr>
      <w:rFonts w:ascii="微软雅黑" w:hAnsi="微软雅黑" w:eastAsia="微软雅黑" w:cs="微软雅黑"/>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2025-11-14T08:35:49Z</dcterms:created>
  <dc:creator>Administrator</dc:creator>
  <cp:lastModifiedBy>余俊豪</cp:lastModifiedBy>
  <dcterms:modified xsi:type="dcterms:W3CDTF">2025-11-14T08:36:03Z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eyJoZGlkIjoiYmI3N2MzODExN2YxMjFmOWQyYWUwNDFjNmVjODYyMTkiLCJ1c2VySWQiOiIxNzQ0ODM1ODYyIn0=</vt:lpwstr>
  </property>
  <property fmtid="{D5CDD505-2E9C-101B-9397-08002B2CF9AE}" pid="4" name="ICV">
    <vt:lpwstr>C959F225C8D146128023D1D30F3F2964_12</vt:lpwstr>
  </property>
</Properties>
</file>