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olor w:val="000000"/>
          <w:szCs w:val="21"/>
        </w:rPr>
      </w:pPr>
    </w:p>
    <w:p>
      <w:pPr>
        <w:spacing w:line="360" w:lineRule="auto"/>
        <w:jc w:val="both"/>
        <w:rPr>
          <w:rFonts w:ascii="宋体" w:hAnsi="宋体"/>
          <w:b/>
          <w:color w:val="000000"/>
          <w:sz w:val="22"/>
          <w:szCs w:val="24"/>
        </w:rPr>
      </w:pPr>
      <w:r>
        <w:rPr>
          <w:rFonts w:hint="eastAsia" w:ascii="宋体" w:hAnsi="宋体"/>
          <w:b/>
          <w:color w:val="000000"/>
          <w:sz w:val="22"/>
          <w:szCs w:val="24"/>
          <w:lang w:val="en-US" w:eastAsia="zh-CN"/>
        </w:rPr>
        <w:t>1.</w:t>
      </w:r>
      <w:r>
        <w:rPr>
          <w:rFonts w:hint="eastAsia" w:ascii="宋体" w:hAnsi="宋体"/>
          <w:b/>
          <w:color w:val="000000"/>
          <w:sz w:val="22"/>
          <w:szCs w:val="24"/>
        </w:rPr>
        <w:t>技术评审表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051"/>
        <w:gridCol w:w="620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Borders>
              <w:right w:val="single" w:color="auto" w:sz="2" w:space="0"/>
            </w:tcBorders>
            <w:noWrap w:val="0"/>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序号</w:t>
            </w:r>
          </w:p>
        </w:tc>
        <w:tc>
          <w:tcPr>
            <w:tcW w:w="616" w:type="pct"/>
            <w:tcBorders>
              <w:right w:val="single" w:color="auto" w:sz="2" w:space="0"/>
            </w:tcBorders>
            <w:noWrap w:val="0"/>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审查项目</w:t>
            </w:r>
          </w:p>
        </w:tc>
        <w:tc>
          <w:tcPr>
            <w:tcW w:w="3635" w:type="pct"/>
            <w:tcBorders>
              <w:left w:val="single" w:color="auto" w:sz="2" w:space="0"/>
            </w:tcBorders>
            <w:noWrap w:val="0"/>
            <w:vAlign w:val="center"/>
          </w:tcPr>
          <w:p>
            <w:pPr>
              <w:spacing w:line="360" w:lineRule="auto"/>
              <w:ind w:firstLine="2741" w:firstLineChars="1300"/>
              <w:jc w:val="both"/>
              <w:rPr>
                <w:rFonts w:ascii="宋体" w:hAnsi="宋体" w:cs="宋体"/>
                <w:b/>
                <w:color w:val="000000"/>
                <w:szCs w:val="21"/>
              </w:rPr>
            </w:pPr>
            <w:r>
              <w:rPr>
                <w:rFonts w:hint="eastAsia" w:ascii="宋体" w:hAnsi="宋体" w:cs="宋体"/>
                <w:b/>
                <w:color w:val="000000"/>
                <w:szCs w:val="21"/>
              </w:rPr>
              <w:t>评审标准</w:t>
            </w:r>
          </w:p>
        </w:tc>
        <w:tc>
          <w:tcPr>
            <w:tcW w:w="389" w:type="pct"/>
            <w:noWrap w:val="0"/>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单项</w:t>
            </w:r>
          </w:p>
          <w:p>
            <w:pPr>
              <w:spacing w:line="360" w:lineRule="auto"/>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Borders>
              <w:right w:val="single" w:color="auto" w:sz="2" w:space="0"/>
            </w:tcBorders>
            <w:noWrap w:val="0"/>
            <w:vAlign w:val="center"/>
          </w:tcPr>
          <w:p>
            <w:pPr>
              <w:spacing w:line="360" w:lineRule="auto"/>
              <w:jc w:val="center"/>
              <w:rPr>
                <w:rFonts w:ascii="宋体" w:hAnsi="宋体" w:cs="宋体"/>
                <w:b/>
                <w:color w:val="000000"/>
                <w:szCs w:val="21"/>
              </w:rPr>
            </w:pPr>
            <w:r>
              <w:rPr>
                <w:rFonts w:hint="eastAsia" w:ascii="宋体" w:hAnsi="宋体" w:cs="宋体"/>
                <w:bCs/>
                <w:color w:val="000000"/>
                <w:szCs w:val="21"/>
              </w:rPr>
              <w:t>1</w:t>
            </w:r>
          </w:p>
        </w:tc>
        <w:tc>
          <w:tcPr>
            <w:tcW w:w="616" w:type="pct"/>
            <w:tcBorders>
              <w:right w:val="single" w:color="auto" w:sz="2"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施工进度计划和工期</w:t>
            </w:r>
          </w:p>
          <w:p>
            <w:pPr>
              <w:spacing w:line="360" w:lineRule="auto"/>
              <w:jc w:val="center"/>
              <w:rPr>
                <w:rFonts w:ascii="宋体" w:hAnsi="宋体"/>
                <w:color w:val="000000"/>
                <w:szCs w:val="21"/>
              </w:rPr>
            </w:pPr>
            <w:r>
              <w:rPr>
                <w:rFonts w:hint="eastAsia" w:ascii="宋体" w:hAnsi="宋体" w:cs="宋体"/>
                <w:szCs w:val="21"/>
              </w:rPr>
              <w:t>保证措施</w:t>
            </w:r>
          </w:p>
        </w:tc>
        <w:tc>
          <w:tcPr>
            <w:tcW w:w="3635" w:type="pct"/>
            <w:tcBorders>
              <w:left w:val="single" w:color="auto" w:sz="2" w:space="0"/>
            </w:tcBorders>
            <w:noWrap w:val="0"/>
            <w:vAlign w:val="center"/>
          </w:tcPr>
          <w:p>
            <w:pPr>
              <w:spacing w:line="360" w:lineRule="auto"/>
            </w:pPr>
            <w:r>
              <w:rPr>
                <w:rFonts w:hint="eastAsia"/>
              </w:rPr>
              <w:t>1)供应商对项目总体认识全面深刻，论述完整清晰，总体组织符合实际、</w:t>
            </w:r>
            <w:r>
              <w:t>关键线路清晰、准确、完整，计划编制合理、可行，满足招标文件对工期的要求，对关键节点的控制措施有力、合理、可行。</w:t>
            </w:r>
            <w:r>
              <w:rPr>
                <w:rFonts w:hint="eastAsia"/>
              </w:rPr>
              <w:t>得10分；</w:t>
            </w:r>
          </w:p>
          <w:p>
            <w:pPr>
              <w:spacing w:line="360" w:lineRule="auto"/>
            </w:pPr>
            <w:r>
              <w:rPr>
                <w:rFonts w:hint="eastAsia"/>
              </w:rPr>
              <w:t>2)供应商对项目总体认识较全面深刻，论述完整较清晰，总体组织较符合实际、</w:t>
            </w:r>
            <w:r>
              <w:t>关键线路</w:t>
            </w:r>
            <w:r>
              <w:rPr>
                <w:rFonts w:hint="eastAsia"/>
              </w:rPr>
              <w:t>较</w:t>
            </w:r>
            <w:r>
              <w:t>清晰、准确、完整，计划编制</w:t>
            </w:r>
            <w:r>
              <w:rPr>
                <w:rFonts w:hint="eastAsia"/>
              </w:rPr>
              <w:t>较</w:t>
            </w:r>
            <w:r>
              <w:t>合理、可行，</w:t>
            </w:r>
            <w:r>
              <w:rPr>
                <w:rFonts w:hint="eastAsia"/>
              </w:rPr>
              <w:t>较可</w:t>
            </w:r>
            <w:r>
              <w:t>满足招标文件对工期的要求，对关键节点的控制措施</w:t>
            </w:r>
            <w:r>
              <w:rPr>
                <w:rFonts w:hint="eastAsia"/>
              </w:rPr>
              <w:t>较</w:t>
            </w:r>
            <w:r>
              <w:t>有力、合理、可行。</w:t>
            </w:r>
            <w:r>
              <w:rPr>
                <w:rFonts w:hint="eastAsia"/>
              </w:rPr>
              <w:t>得5分；</w:t>
            </w:r>
          </w:p>
          <w:p>
            <w:pPr>
              <w:spacing w:line="360" w:lineRule="auto"/>
            </w:pPr>
            <w:r>
              <w:rPr>
                <w:rFonts w:hint="eastAsia"/>
              </w:rPr>
              <w:t>3)供应商对项目总体认不够深刻，论述完整不够清晰，总体组织不够符合实际、</w:t>
            </w:r>
            <w:r>
              <w:t>关键线路</w:t>
            </w:r>
            <w:r>
              <w:rPr>
                <w:rFonts w:hint="eastAsia"/>
              </w:rPr>
              <w:t>不够</w:t>
            </w:r>
            <w:r>
              <w:t>清晰、准确、完整，计划</w:t>
            </w:r>
            <w:r>
              <w:rPr>
                <w:rFonts w:hint="eastAsia"/>
              </w:rPr>
              <w:t>编制相对模糊</w:t>
            </w:r>
            <w:r>
              <w:t>，</w:t>
            </w:r>
            <w:r>
              <w:rPr>
                <w:rFonts w:hint="eastAsia"/>
              </w:rPr>
              <w:t>仅勉强</w:t>
            </w:r>
            <w:r>
              <w:t>满足招标文件对工期的要求，对关键节点的控制措施</w:t>
            </w:r>
            <w:r>
              <w:rPr>
                <w:rFonts w:hint="eastAsia"/>
              </w:rPr>
              <w:t>基本</w:t>
            </w:r>
            <w:r>
              <w:t>有力、合理、可行。</w:t>
            </w:r>
            <w:r>
              <w:rPr>
                <w:rFonts w:hint="eastAsia"/>
              </w:rPr>
              <w:t>得3分；</w:t>
            </w:r>
          </w:p>
          <w:p>
            <w:pPr>
              <w:spacing w:line="360" w:lineRule="auto"/>
              <w:rPr>
                <w:rFonts w:ascii="宋体" w:hAnsi="宋体" w:cs="宋体"/>
                <w:color w:val="000000"/>
                <w:szCs w:val="21"/>
              </w:rPr>
            </w:pPr>
            <w:r>
              <w:rPr>
                <w:rFonts w:hint="eastAsia"/>
              </w:rPr>
              <w:t>4)无相关描述不得分。</w:t>
            </w:r>
          </w:p>
        </w:tc>
        <w:tc>
          <w:tcPr>
            <w:tcW w:w="389" w:type="pct"/>
            <w:noWrap w:val="0"/>
            <w:vAlign w:val="center"/>
          </w:tcPr>
          <w:p>
            <w:pPr>
              <w:spacing w:line="360" w:lineRule="auto"/>
              <w:jc w:val="center"/>
              <w:rPr>
                <w:rFonts w:ascii="宋体" w:hAnsi="宋体"/>
                <w:color w:val="000000"/>
                <w:szCs w:val="21"/>
              </w:rPr>
            </w:pPr>
            <w:r>
              <w:rPr>
                <w:rFonts w:hint="eastAsia" w:ascii="宋体" w:hAnsi="宋体"/>
                <w:color w:val="000000"/>
                <w:szCs w:val="21"/>
              </w:rPr>
              <w:t>10</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616"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施工组织方案、技术措施及施工现场规划</w:t>
            </w:r>
          </w:p>
        </w:tc>
        <w:tc>
          <w:tcPr>
            <w:tcW w:w="3635" w:type="pct"/>
            <w:noWrap w:val="0"/>
            <w:vAlign w:val="top"/>
          </w:tcPr>
          <w:p>
            <w:pPr>
              <w:spacing w:line="360" w:lineRule="auto"/>
              <w:rPr>
                <w:rFonts w:ascii="宋体" w:hAnsi="宋体" w:cs="宋体"/>
                <w:color w:val="000000"/>
                <w:szCs w:val="21"/>
              </w:rPr>
            </w:pPr>
            <w:r>
              <w:rPr>
                <w:rFonts w:hint="eastAsia" w:ascii="宋体" w:hAnsi="宋体" w:cs="宋体"/>
                <w:color w:val="000000"/>
                <w:szCs w:val="21"/>
              </w:rPr>
              <w:t>1）供应商对该项目施工组织方案、技术措施及施工现场规划先进合理，清晰理解工程重点难点，施工关键技术工艺把握准确，技术措施能够充分保障工程质量、工期和施工安全生产，得</w:t>
            </w:r>
            <w:r>
              <w:rPr>
                <w:rFonts w:ascii="宋体" w:hAnsi="宋体" w:cs="宋体"/>
                <w:color w:val="000000"/>
                <w:szCs w:val="21"/>
              </w:rPr>
              <w:t>10</w:t>
            </w:r>
            <w:r>
              <w:rPr>
                <w:rFonts w:hint="eastAsia" w:ascii="宋体" w:hAnsi="宋体" w:cs="宋体"/>
                <w:color w:val="000000"/>
                <w:szCs w:val="21"/>
              </w:rPr>
              <w:t>分；</w:t>
            </w:r>
          </w:p>
          <w:p>
            <w:pPr>
              <w:spacing w:line="360" w:lineRule="auto"/>
              <w:rPr>
                <w:rFonts w:ascii="宋体" w:hAnsi="宋体" w:cs="宋体"/>
                <w:color w:val="000000"/>
                <w:szCs w:val="21"/>
              </w:rPr>
            </w:pPr>
            <w:r>
              <w:rPr>
                <w:rFonts w:hint="eastAsia" w:ascii="宋体" w:hAnsi="宋体" w:cs="宋体"/>
                <w:color w:val="000000"/>
                <w:szCs w:val="21"/>
              </w:rPr>
              <w:t>2）供应商对该项目施工组织方案、技术措施及施工现场规划较先进合理，较能清晰理解工程重点难点，施工关键技术工艺把握较准确，技术措施较能保障工程质量、工期和施工安全生产，得</w:t>
            </w:r>
            <w:r>
              <w:rPr>
                <w:rFonts w:ascii="宋体" w:hAnsi="宋体" w:cs="宋体"/>
                <w:color w:val="000000"/>
                <w:szCs w:val="21"/>
              </w:rPr>
              <w:t>5</w:t>
            </w:r>
            <w:r>
              <w:rPr>
                <w:rFonts w:hint="eastAsia" w:ascii="宋体" w:hAnsi="宋体" w:cs="宋体"/>
                <w:color w:val="000000"/>
                <w:szCs w:val="21"/>
              </w:rPr>
              <w:t>分；</w:t>
            </w:r>
          </w:p>
          <w:p>
            <w:pPr>
              <w:spacing w:line="360" w:lineRule="auto"/>
              <w:rPr>
                <w:rFonts w:ascii="宋体" w:hAnsi="宋体" w:cs="宋体"/>
                <w:color w:val="000000"/>
                <w:szCs w:val="21"/>
              </w:rPr>
            </w:pPr>
            <w:r>
              <w:rPr>
                <w:rFonts w:hint="eastAsia" w:ascii="宋体" w:hAnsi="宋体" w:cs="宋体"/>
                <w:color w:val="000000"/>
                <w:szCs w:val="21"/>
              </w:rPr>
              <w:t>3）供应商对该项目施工组织方案、技术措施及施工现场规划不够合理，工程重点难点、施工关键技术工艺把握不够准确，技术措施基本能保障工程质量、工期和施工安全生产，得3分；</w:t>
            </w:r>
          </w:p>
          <w:p>
            <w:pPr>
              <w:spacing w:line="360" w:lineRule="auto"/>
              <w:rPr>
                <w:rFonts w:ascii="宋体" w:hAnsi="宋体" w:cs="宋体"/>
                <w:color w:val="000000"/>
                <w:szCs w:val="21"/>
              </w:rPr>
            </w:pPr>
            <w:r>
              <w:rPr>
                <w:rFonts w:hint="eastAsia" w:ascii="宋体" w:hAnsi="宋体" w:cs="宋体"/>
                <w:color w:val="000000"/>
                <w:szCs w:val="21"/>
              </w:rPr>
              <w:t>4)无相关描述不得分。</w:t>
            </w:r>
          </w:p>
        </w:tc>
        <w:tc>
          <w:tcPr>
            <w:tcW w:w="389"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616"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对现场的熟悉</w:t>
            </w:r>
          </w:p>
          <w:p>
            <w:pPr>
              <w:spacing w:line="360" w:lineRule="auto"/>
              <w:jc w:val="center"/>
              <w:rPr>
                <w:rFonts w:ascii="宋体" w:hAnsi="宋体" w:cs="宋体"/>
                <w:color w:val="000000"/>
                <w:szCs w:val="21"/>
              </w:rPr>
            </w:pPr>
            <w:r>
              <w:rPr>
                <w:rFonts w:hint="eastAsia" w:ascii="宋体" w:hAnsi="宋体" w:cs="宋体"/>
                <w:color w:val="000000"/>
                <w:szCs w:val="21"/>
              </w:rPr>
              <w:t>和了解程度</w:t>
            </w:r>
          </w:p>
        </w:tc>
        <w:tc>
          <w:tcPr>
            <w:tcW w:w="3635" w:type="pct"/>
            <w:noWrap w:val="0"/>
            <w:vAlign w:val="top"/>
          </w:tcPr>
          <w:p>
            <w:pPr>
              <w:spacing w:line="360" w:lineRule="auto"/>
            </w:pPr>
            <w:r>
              <w:rPr>
                <w:rFonts w:hint="eastAsia"/>
              </w:rPr>
              <w:t>1）深刻了解本项目需求的必要性、重要性，熟悉本工程建构筑物</w:t>
            </w:r>
          </w:p>
          <w:p>
            <w:pPr>
              <w:spacing w:line="360" w:lineRule="auto"/>
            </w:pPr>
            <w:r>
              <w:rPr>
                <w:rFonts w:hint="eastAsia"/>
              </w:rPr>
              <w:t xml:space="preserve">要求和毗邻周边居民建筑、校园建筑、公共设施建筑和室外配套道路、淤泥渣土排放情况，能准确把握本次工程升级改造工作内容， 符合采购人的需求，得11~15分； </w:t>
            </w:r>
          </w:p>
          <w:p>
            <w:pPr>
              <w:spacing w:line="360" w:lineRule="auto"/>
            </w:pPr>
            <w:r>
              <w:rPr>
                <w:rFonts w:hint="eastAsia"/>
              </w:rPr>
              <w:t xml:space="preserve">2）基本了解清拆建构筑物要求和本项目作业区域情况，基本符合采购人的需求，得6~10分； </w:t>
            </w:r>
          </w:p>
          <w:p>
            <w:pPr>
              <w:spacing w:line="360" w:lineRule="auto"/>
            </w:pPr>
            <w:r>
              <w:rPr>
                <w:rFonts w:hint="eastAsia"/>
              </w:rPr>
              <w:t>3）对本工程建构筑物情况和作业区认识不足，与采购人需求有一定差距，得1~5分。</w:t>
            </w:r>
          </w:p>
          <w:p>
            <w:pPr>
              <w:pStyle w:val="6"/>
              <w:ind w:left="0" w:firstLine="0"/>
            </w:pPr>
            <w:r>
              <w:rPr>
                <w:rFonts w:hint="eastAsia" w:cs="宋体"/>
                <w:color w:val="000000"/>
                <w:szCs w:val="21"/>
              </w:rPr>
              <w:t>4）其余情况不得分</w:t>
            </w:r>
          </w:p>
        </w:tc>
        <w:tc>
          <w:tcPr>
            <w:tcW w:w="389"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616" w:type="pct"/>
            <w:noWrap w:val="0"/>
            <w:vAlign w:val="center"/>
          </w:tcPr>
          <w:p>
            <w:pPr>
              <w:spacing w:line="360" w:lineRule="auto"/>
              <w:jc w:val="center"/>
              <w:rPr>
                <w:rFonts w:ascii="宋体" w:hAnsi="宋体" w:cs="宋体"/>
                <w:color w:val="000000"/>
                <w:szCs w:val="21"/>
              </w:rPr>
            </w:pPr>
            <w:r>
              <w:rPr>
                <w:rFonts w:hint="eastAsia" w:ascii="宋体" w:hAnsi="宋体" w:cs="宋体"/>
                <w:szCs w:val="21"/>
              </w:rPr>
              <w:t>安全、文明施工、环保措施</w:t>
            </w:r>
          </w:p>
        </w:tc>
        <w:tc>
          <w:tcPr>
            <w:tcW w:w="3635" w:type="pct"/>
            <w:noWrap w:val="0"/>
            <w:vAlign w:val="top"/>
          </w:tcPr>
          <w:p>
            <w:pPr>
              <w:spacing w:line="360" w:lineRule="auto"/>
              <w:rPr>
                <w:color w:val="000000"/>
                <w:szCs w:val="21"/>
              </w:rPr>
            </w:pPr>
            <w:r>
              <w:rPr>
                <w:rFonts w:hint="eastAsia" w:ascii="宋体" w:hAnsi="宋体"/>
                <w:szCs w:val="21"/>
              </w:rPr>
              <w:t>1）供应商</w:t>
            </w:r>
            <w:r>
              <w:rPr>
                <w:rFonts w:ascii="宋体" w:hAnsi="宋体"/>
                <w:szCs w:val="21"/>
              </w:rPr>
              <w:t>针对项目实际情况，有先进、具体、完整、可行的措施，采用规范</w:t>
            </w:r>
            <w:r>
              <w:rPr>
                <w:rFonts w:hint="eastAsia" w:ascii="宋体" w:hAnsi="宋体"/>
                <w:szCs w:val="21"/>
              </w:rPr>
              <w:t>使用安全生产标准化达标规范指导实践的，得8</w:t>
            </w:r>
            <w:r>
              <w:rPr>
                <w:rFonts w:ascii="宋体" w:hAnsi="宋体"/>
                <w:szCs w:val="21"/>
              </w:rPr>
              <w:t>～</w:t>
            </w:r>
            <w:r>
              <w:rPr>
                <w:rFonts w:hint="eastAsia" w:ascii="宋体" w:hAnsi="宋体"/>
                <w:szCs w:val="21"/>
              </w:rPr>
              <w:t>10</w:t>
            </w:r>
            <w:r>
              <w:rPr>
                <w:rFonts w:ascii="宋体" w:hAnsi="宋体"/>
                <w:szCs w:val="21"/>
              </w:rPr>
              <w:t>分（含</w:t>
            </w:r>
            <w:r>
              <w:rPr>
                <w:rFonts w:hint="eastAsia" w:ascii="宋体" w:hAnsi="宋体"/>
                <w:szCs w:val="21"/>
              </w:rPr>
              <w:t>10</w:t>
            </w:r>
            <w:r>
              <w:rPr>
                <w:rFonts w:ascii="宋体" w:hAnsi="宋体"/>
                <w:szCs w:val="21"/>
              </w:rPr>
              <w:t>分</w:t>
            </w:r>
            <w:r>
              <w:rPr>
                <w:rFonts w:hint="eastAsia" w:ascii="宋体" w:hAnsi="宋体"/>
                <w:szCs w:val="21"/>
              </w:rPr>
              <w:t>)</w:t>
            </w:r>
            <w:r>
              <w:rPr>
                <w:rFonts w:hint="eastAsia" w:ascii="宋体" w:hAnsi="宋体" w:cs="宋体"/>
                <w:color w:val="000000"/>
                <w:szCs w:val="21"/>
              </w:rPr>
              <w:t xml:space="preserve">；  </w:t>
            </w:r>
          </w:p>
          <w:p>
            <w:pPr>
              <w:spacing w:line="360" w:lineRule="exact"/>
              <w:rPr>
                <w:rFonts w:ascii="宋体" w:hAnsi="宋体"/>
                <w:szCs w:val="21"/>
              </w:rPr>
            </w:pPr>
            <w:r>
              <w:rPr>
                <w:rFonts w:hint="eastAsia" w:ascii="宋体" w:hAnsi="宋体"/>
                <w:szCs w:val="21"/>
              </w:rPr>
              <w:t>2）</w:t>
            </w:r>
            <w:r>
              <w:rPr>
                <w:rFonts w:ascii="宋体" w:hAnsi="宋体"/>
                <w:szCs w:val="21"/>
              </w:rPr>
              <w:t>针对项目实际情况，有合理的措施且具体、完整，采用规范准确。</w:t>
            </w:r>
            <w:r>
              <w:rPr>
                <w:rFonts w:hint="eastAsia" w:ascii="宋体" w:hAnsi="宋体"/>
                <w:szCs w:val="21"/>
              </w:rPr>
              <w:t>得5</w:t>
            </w:r>
            <w:r>
              <w:rPr>
                <w:rFonts w:ascii="宋体" w:hAnsi="宋体"/>
                <w:szCs w:val="21"/>
              </w:rPr>
              <w:t>～</w:t>
            </w:r>
            <w:r>
              <w:rPr>
                <w:rFonts w:hint="eastAsia" w:ascii="宋体" w:hAnsi="宋体"/>
                <w:szCs w:val="21"/>
              </w:rPr>
              <w:t>7</w:t>
            </w:r>
            <w:r>
              <w:rPr>
                <w:rFonts w:ascii="宋体" w:hAnsi="宋体"/>
                <w:szCs w:val="21"/>
              </w:rPr>
              <w:t>分（含</w:t>
            </w:r>
            <w:r>
              <w:rPr>
                <w:rFonts w:hint="eastAsia" w:ascii="宋体" w:hAnsi="宋体"/>
                <w:szCs w:val="21"/>
              </w:rPr>
              <w:t>7</w:t>
            </w:r>
            <w:r>
              <w:rPr>
                <w:rFonts w:ascii="宋体" w:hAnsi="宋体"/>
                <w:szCs w:val="21"/>
              </w:rPr>
              <w:t>分）</w:t>
            </w:r>
            <w:r>
              <w:rPr>
                <w:rFonts w:hint="eastAsia" w:ascii="宋体" w:hAnsi="宋体"/>
                <w:szCs w:val="21"/>
              </w:rPr>
              <w:t>；</w:t>
            </w:r>
          </w:p>
          <w:p>
            <w:pPr>
              <w:spacing w:line="360" w:lineRule="exact"/>
              <w:rPr>
                <w:rFonts w:ascii="宋体" w:hAnsi="宋体"/>
                <w:szCs w:val="21"/>
              </w:rPr>
            </w:pPr>
            <w:r>
              <w:rPr>
                <w:rFonts w:hint="eastAsia" w:ascii="宋体" w:hAnsi="宋体"/>
                <w:szCs w:val="21"/>
              </w:rPr>
              <w:t>3）</w:t>
            </w:r>
            <w:r>
              <w:rPr>
                <w:rFonts w:ascii="宋体" w:hAnsi="宋体"/>
                <w:szCs w:val="21"/>
              </w:rPr>
              <w:t>有基本合理的措施，采用规范准确。</w:t>
            </w:r>
            <w:r>
              <w:rPr>
                <w:rFonts w:hint="eastAsia" w:ascii="宋体" w:hAnsi="宋体"/>
                <w:szCs w:val="21"/>
              </w:rPr>
              <w:t>得2</w:t>
            </w:r>
            <w:r>
              <w:rPr>
                <w:rFonts w:ascii="宋体" w:hAnsi="宋体"/>
                <w:szCs w:val="21"/>
              </w:rPr>
              <w:t>～</w:t>
            </w:r>
            <w:r>
              <w:rPr>
                <w:rFonts w:hint="eastAsia" w:ascii="宋体" w:hAnsi="宋体"/>
                <w:szCs w:val="21"/>
              </w:rPr>
              <w:t>4</w:t>
            </w:r>
            <w:r>
              <w:rPr>
                <w:rFonts w:ascii="宋体" w:hAnsi="宋体"/>
                <w:szCs w:val="21"/>
              </w:rPr>
              <w:t>分</w:t>
            </w:r>
            <w:r>
              <w:rPr>
                <w:rFonts w:hint="eastAsia" w:ascii="宋体" w:hAnsi="宋体"/>
                <w:szCs w:val="21"/>
              </w:rPr>
              <w:t>；</w:t>
            </w:r>
          </w:p>
          <w:p>
            <w:pPr>
              <w:spacing w:line="360" w:lineRule="auto"/>
              <w:rPr>
                <w:rFonts w:ascii="宋体" w:hAnsi="宋体" w:cs="宋体"/>
                <w:color w:val="000000"/>
                <w:szCs w:val="21"/>
              </w:rPr>
            </w:pPr>
            <w:r>
              <w:rPr>
                <w:rFonts w:hint="eastAsia" w:ascii="宋体" w:hAnsi="宋体"/>
                <w:szCs w:val="21"/>
              </w:rPr>
              <w:t>4）安全文明、环保措施不力，或采用规范不正确。得0分</w:t>
            </w:r>
          </w:p>
        </w:tc>
        <w:tc>
          <w:tcPr>
            <w:tcW w:w="389"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616" w:type="pc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资源配备计划</w:t>
            </w:r>
          </w:p>
        </w:tc>
        <w:tc>
          <w:tcPr>
            <w:tcW w:w="3635" w:type="pct"/>
            <w:noWrap w:val="0"/>
            <w:vAlign w:val="center"/>
          </w:tcPr>
          <w:p>
            <w:pPr>
              <w:spacing w:line="360" w:lineRule="auto"/>
              <w:rPr>
                <w:color w:val="000000"/>
                <w:szCs w:val="21"/>
              </w:rPr>
            </w:pPr>
            <w:r>
              <w:rPr>
                <w:rFonts w:hint="eastAsia" w:ascii="宋体" w:hAnsi="宋体" w:cs="宋体"/>
                <w:color w:val="000000"/>
                <w:szCs w:val="21"/>
              </w:rPr>
              <w:t xml:space="preserve">1）资源配备计划完善合理，主要测量仪器、机械设备、劳动力、施工机具及安全防护用品能够满足工程进度计划及施工管理措施需要，得10分； </w:t>
            </w:r>
          </w:p>
          <w:p>
            <w:pPr>
              <w:spacing w:line="360" w:lineRule="auto"/>
              <w:rPr>
                <w:rFonts w:ascii="宋体" w:hAnsi="宋体" w:cs="宋体"/>
                <w:color w:val="000000"/>
                <w:szCs w:val="21"/>
              </w:rPr>
            </w:pPr>
            <w:r>
              <w:rPr>
                <w:rFonts w:hint="eastAsia" w:ascii="宋体" w:hAnsi="宋体" w:cs="宋体"/>
                <w:color w:val="000000"/>
                <w:szCs w:val="21"/>
              </w:rPr>
              <w:t>2）资源配备计划较完善合理，主要测量仪器、机械设备、劳动力、施工机具及安全防护用品较能满足工程进度计划及施工管理措施需要，得5分；</w:t>
            </w:r>
          </w:p>
          <w:p>
            <w:pPr>
              <w:spacing w:line="360" w:lineRule="auto"/>
              <w:rPr>
                <w:rFonts w:ascii="宋体" w:hAnsi="宋体" w:cs="宋体"/>
                <w:color w:val="000000"/>
                <w:szCs w:val="21"/>
              </w:rPr>
            </w:pPr>
            <w:r>
              <w:rPr>
                <w:rFonts w:hint="eastAsia" w:ascii="宋体" w:hAnsi="宋体" w:cs="宋体"/>
                <w:color w:val="000000"/>
                <w:szCs w:val="21"/>
              </w:rPr>
              <w:t>3）资源配备计划不够完善，主要测量仪器、机械设备、劳动力、施工机具及安全防护用品基本满足工程进度计划及施工管理措施需要，得</w:t>
            </w:r>
            <w:r>
              <w:rPr>
                <w:rFonts w:ascii="宋体" w:hAnsi="宋体" w:cs="宋体"/>
                <w:color w:val="000000"/>
                <w:szCs w:val="21"/>
              </w:rPr>
              <w:t>1</w:t>
            </w:r>
            <w:r>
              <w:rPr>
                <w:rFonts w:hint="eastAsia" w:ascii="宋体" w:hAnsi="宋体" w:cs="宋体"/>
                <w:color w:val="000000"/>
                <w:szCs w:val="21"/>
              </w:rPr>
              <w:t>分；</w:t>
            </w:r>
          </w:p>
          <w:p>
            <w:pPr>
              <w:spacing w:line="360" w:lineRule="auto"/>
              <w:rPr>
                <w:rFonts w:ascii="宋体" w:hAnsi="宋体" w:cs="宋体"/>
                <w:color w:val="000000"/>
                <w:szCs w:val="21"/>
              </w:rPr>
            </w:pPr>
            <w:r>
              <w:rPr>
                <w:rFonts w:hint="eastAsia" w:ascii="宋体" w:hAnsi="宋体" w:cs="宋体"/>
                <w:color w:val="000000"/>
                <w:szCs w:val="21"/>
              </w:rPr>
              <w:t>4）无相关描述不得分。</w:t>
            </w:r>
          </w:p>
        </w:tc>
        <w:tc>
          <w:tcPr>
            <w:tcW w:w="389" w:type="pct"/>
            <w:noWrap w:val="0"/>
            <w:vAlign w:val="center"/>
          </w:tcPr>
          <w:p>
            <w:pPr>
              <w:snapToGrid w:val="0"/>
              <w:spacing w:line="360" w:lineRule="auto"/>
              <w:contextualSpacing/>
              <w:jc w:val="center"/>
              <w:rPr>
                <w:rFonts w:ascii="宋体" w:hAnsi="宋体"/>
                <w:color w:val="000000"/>
                <w:szCs w:val="21"/>
              </w:rPr>
            </w:pPr>
            <w:r>
              <w:rPr>
                <w:rFonts w:hint="eastAsia" w:ascii="宋体" w:hAnsi="宋体" w:cs="宋体"/>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0" w:type="pct"/>
            <w:gridSpan w:val="3"/>
            <w:noWrap w:val="0"/>
            <w:vAlign w:val="top"/>
          </w:tcPr>
          <w:p>
            <w:pPr>
              <w:spacing w:line="360" w:lineRule="auto"/>
              <w:jc w:val="center"/>
              <w:rPr>
                <w:rFonts w:ascii="宋体" w:hAnsi="宋体" w:cs="宋体"/>
                <w:b/>
                <w:bCs/>
                <w:color w:val="000000"/>
                <w:szCs w:val="21"/>
              </w:rPr>
            </w:pPr>
            <w:r>
              <w:rPr>
                <w:rFonts w:hint="eastAsia" w:ascii="宋体" w:hAnsi="宋体" w:cs="宋体"/>
                <w:b/>
                <w:bCs/>
                <w:color w:val="000000"/>
                <w:szCs w:val="21"/>
              </w:rPr>
              <w:t>合计</w:t>
            </w:r>
          </w:p>
        </w:tc>
        <w:tc>
          <w:tcPr>
            <w:tcW w:w="389" w:type="pct"/>
            <w:noWrap w:val="0"/>
            <w:vAlign w:val="top"/>
          </w:tcPr>
          <w:p>
            <w:pPr>
              <w:spacing w:line="360" w:lineRule="auto"/>
              <w:jc w:val="center"/>
              <w:rPr>
                <w:rFonts w:ascii="宋体" w:hAnsi="宋体" w:cs="宋体"/>
                <w:b/>
                <w:bCs/>
                <w:color w:val="000000"/>
                <w:szCs w:val="21"/>
              </w:rPr>
            </w:pPr>
            <w:r>
              <w:rPr>
                <w:rFonts w:hint="eastAsia" w:ascii="宋体" w:hAnsi="宋体" w:cs="宋体"/>
                <w:b/>
                <w:bCs/>
                <w:color w:val="000000"/>
                <w:szCs w:val="21"/>
              </w:rPr>
              <w:t>50分</w:t>
            </w:r>
          </w:p>
        </w:tc>
      </w:tr>
    </w:tbl>
    <w:p>
      <w:pPr>
        <w:spacing w:line="360" w:lineRule="auto"/>
        <w:jc w:val="both"/>
        <w:rPr>
          <w:rFonts w:hint="eastAsia" w:ascii="宋体" w:hAnsi="宋体"/>
          <w:b/>
          <w:color w:val="000000"/>
          <w:szCs w:val="21"/>
        </w:rPr>
      </w:pPr>
    </w:p>
    <w:p>
      <w:pPr>
        <w:spacing w:line="360" w:lineRule="auto"/>
        <w:jc w:val="both"/>
        <w:rPr>
          <w:rFonts w:hint="default" w:ascii="宋体" w:hAnsi="宋体" w:eastAsia="宋体"/>
          <w:b/>
          <w:color w:val="000000"/>
          <w:szCs w:val="21"/>
          <w:lang w:val="en-US" w:eastAsia="zh-CN"/>
        </w:rPr>
      </w:pPr>
      <w:r>
        <w:rPr>
          <w:rFonts w:hint="eastAsia" w:ascii="宋体" w:hAnsi="宋体"/>
          <w:b/>
          <w:color w:val="000000"/>
          <w:szCs w:val="21"/>
          <w:lang w:val="en-US" w:eastAsia="zh-CN"/>
        </w:rPr>
        <w:t>2.商务评审表</w:t>
      </w:r>
    </w:p>
    <w:p>
      <w:pPr>
        <w:spacing w:line="360" w:lineRule="auto"/>
        <w:jc w:val="both"/>
        <w:rPr>
          <w:rFonts w:hint="eastAsia" w:ascii="宋体" w:hAnsi="宋体"/>
          <w:b/>
          <w:color w:val="000000"/>
          <w:szCs w:val="21"/>
        </w:rPr>
      </w:pPr>
    </w:p>
    <w:tbl>
      <w:tblPr>
        <w:tblStyle w:val="7"/>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590"/>
        <w:gridCol w:w="6741"/>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both"/>
              <w:rPr>
                <w:rFonts w:ascii="宋体" w:hAnsi="宋体" w:cs="宋体"/>
                <w:b/>
                <w:color w:val="000000"/>
                <w:szCs w:val="21"/>
              </w:rPr>
            </w:pPr>
            <w:r>
              <w:rPr>
                <w:rFonts w:hint="eastAsia" w:ascii="宋体" w:hAnsi="宋体" w:cs="宋体"/>
                <w:b/>
                <w:color w:val="000000"/>
                <w:szCs w:val="21"/>
              </w:rPr>
              <w:t>序号</w:t>
            </w:r>
          </w:p>
        </w:tc>
        <w:tc>
          <w:tcPr>
            <w:tcW w:w="159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审查项目</w:t>
            </w:r>
          </w:p>
        </w:tc>
        <w:tc>
          <w:tcPr>
            <w:tcW w:w="674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741" w:firstLineChars="1300"/>
              <w:jc w:val="both"/>
              <w:rPr>
                <w:rFonts w:ascii="宋体" w:hAnsi="宋体" w:cs="宋体"/>
                <w:b/>
                <w:color w:val="000000"/>
                <w:szCs w:val="21"/>
              </w:rPr>
            </w:pPr>
            <w:r>
              <w:rPr>
                <w:rFonts w:hint="eastAsia" w:ascii="宋体" w:hAnsi="宋体" w:cs="宋体"/>
                <w:b/>
                <w:color w:val="000000"/>
                <w:szCs w:val="21"/>
              </w:rPr>
              <w:t>评审标准</w:t>
            </w:r>
          </w:p>
        </w:tc>
        <w:tc>
          <w:tcPr>
            <w:tcW w:w="69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单项</w:t>
            </w:r>
          </w:p>
          <w:p>
            <w:pPr>
              <w:spacing w:line="360" w:lineRule="auto"/>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dxa"/>
            <w:tcBorders>
              <w:left w:val="single" w:color="auto" w:sz="4" w:space="0"/>
              <w:bottom w:val="single" w:color="auto" w:sz="4" w:space="0"/>
              <w:right w:val="single" w:color="auto" w:sz="4" w:space="0"/>
            </w:tcBorders>
            <w:noWrap/>
            <w:vAlign w:val="center"/>
          </w:tcPr>
          <w:p>
            <w:pPr>
              <w:shd w:val="clear" w:color="auto" w:fill="FFFFFF"/>
              <w:spacing w:line="360" w:lineRule="auto"/>
              <w:jc w:val="center"/>
              <w:rPr>
                <w:rFonts w:ascii="宋体" w:hAnsi="宋体" w:cs="宋体"/>
                <w:color w:val="000000"/>
                <w:szCs w:val="21"/>
              </w:rPr>
            </w:pPr>
            <w:r>
              <w:rPr>
                <w:rFonts w:hint="eastAsia" w:ascii="宋体" w:hAnsi="宋体" w:cs="宋体"/>
                <w:color w:val="000000"/>
                <w:szCs w:val="21"/>
              </w:rPr>
              <w:t>1</w:t>
            </w:r>
          </w:p>
        </w:tc>
        <w:tc>
          <w:tcPr>
            <w:tcW w:w="1590" w:type="dxa"/>
            <w:tcBorders>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bCs/>
                <w:color w:val="000000"/>
                <w:szCs w:val="21"/>
              </w:rPr>
            </w:pPr>
            <w:r>
              <w:rPr>
                <w:rFonts w:ascii="宋体" w:hAnsi="宋体" w:cs="宋体"/>
                <w:color w:val="000000"/>
                <w:kern w:val="2"/>
                <w:szCs w:val="21"/>
              </w:rPr>
              <w:t>建筑工程施工总承包三级</w:t>
            </w:r>
          </w:p>
        </w:tc>
        <w:tc>
          <w:tcPr>
            <w:tcW w:w="6741" w:type="dxa"/>
            <w:tcBorders>
              <w:top w:val="single" w:color="auto" w:sz="4" w:space="0"/>
              <w:left w:val="single" w:color="auto" w:sz="4" w:space="0"/>
              <w:bottom w:val="single" w:color="auto" w:sz="4" w:space="0"/>
              <w:right w:val="single" w:color="auto" w:sz="4" w:space="0"/>
            </w:tcBorders>
            <w:noWrap/>
            <w:vAlign w:val="center"/>
          </w:tcPr>
          <w:p>
            <w:pPr>
              <w:pStyle w:val="3"/>
              <w:ind w:firstLine="0"/>
              <w:rPr>
                <w:rFonts w:hAnsi="宋体" w:cs="宋体"/>
                <w:color w:val="000000"/>
                <w:kern w:val="2"/>
                <w:szCs w:val="21"/>
              </w:rPr>
            </w:pPr>
            <w:r>
              <w:rPr>
                <w:rFonts w:hint="eastAsia" w:hAnsi="宋体" w:cs="宋体"/>
                <w:color w:val="000000"/>
                <w:szCs w:val="21"/>
              </w:rPr>
              <w:t>本项</w:t>
            </w:r>
            <w:r>
              <w:rPr>
                <w:rFonts w:hint="eastAsia" w:asciiTheme="minorEastAsia" w:hAnsiTheme="minorEastAsia" w:eastAsiaTheme="minorEastAsia" w:cstheme="minorEastAsia"/>
                <w:color w:val="000000"/>
                <w:sz w:val="21"/>
                <w:szCs w:val="21"/>
              </w:rPr>
              <w:t>目</w:t>
            </w:r>
            <w:r>
              <w:rPr>
                <w:rFonts w:hint="eastAsia" w:asciiTheme="minorEastAsia" w:hAnsiTheme="minorEastAsia" w:eastAsiaTheme="minorEastAsia" w:cstheme="minorEastAsia"/>
                <w:color w:val="000000"/>
                <w:sz w:val="21"/>
                <w:szCs w:val="21"/>
                <w:lang w:val="en-US" w:eastAsia="zh-CN"/>
              </w:rPr>
              <w:t>为</w:t>
            </w:r>
            <w:r>
              <w:rPr>
                <w:rFonts w:hint="eastAsia" w:asciiTheme="minorEastAsia" w:hAnsiTheme="minorEastAsia" w:eastAsiaTheme="minorEastAsia" w:cstheme="minorEastAsia"/>
                <w:b w:val="0"/>
                <w:bCs/>
                <w:i w:val="0"/>
                <w:caps w:val="0"/>
                <w:color w:val="282828"/>
                <w:spacing w:val="0"/>
                <w:sz w:val="21"/>
                <w:szCs w:val="21"/>
                <w:shd w:val="clear" w:fill="FFFFFF"/>
              </w:rPr>
              <w:t>医用气体管道安装土建工程</w:t>
            </w:r>
            <w:r>
              <w:rPr>
                <w:rFonts w:hint="eastAsia" w:hAnsi="宋体" w:cs="宋体"/>
                <w:color w:val="000000"/>
                <w:szCs w:val="21"/>
              </w:rPr>
              <w:t>项目，在投标人资质满足</w:t>
            </w:r>
            <w:r>
              <w:rPr>
                <w:rFonts w:hAnsi="宋体" w:cs="宋体"/>
                <w:color w:val="000000"/>
                <w:kern w:val="2"/>
                <w:szCs w:val="21"/>
              </w:rPr>
              <w:t>建筑工程施工总承包三级</w:t>
            </w:r>
            <w:r>
              <w:rPr>
                <w:rFonts w:hint="eastAsia" w:hAnsi="宋体" w:cs="宋体"/>
                <w:color w:val="000000"/>
                <w:kern w:val="2"/>
                <w:szCs w:val="21"/>
              </w:rPr>
              <w:t>时候，为基础10分；含有特种工程(结构补强)专业承包资质加5分；含有建筑机电安装工程专业承包加5分。</w:t>
            </w:r>
          </w:p>
        </w:tc>
        <w:tc>
          <w:tcPr>
            <w:tcW w:w="692" w:type="dxa"/>
            <w:tcBorders>
              <w:top w:val="single" w:color="auto" w:sz="4" w:space="0"/>
              <w:left w:val="single" w:color="auto" w:sz="4" w:space="0"/>
              <w:right w:val="single" w:color="auto" w:sz="4" w:space="0"/>
            </w:tcBorders>
            <w:noWrap/>
            <w:vAlign w:val="center"/>
          </w:tcPr>
          <w:p>
            <w:pPr>
              <w:shd w:val="clear" w:color="auto" w:fill="FFFFFF"/>
              <w:tabs>
                <w:tab w:val="left" w:pos="585"/>
              </w:tabs>
              <w:spacing w:line="360" w:lineRule="auto"/>
              <w:jc w:val="center"/>
              <w:rPr>
                <w:rFonts w:hint="eastAsia" w:ascii="宋体" w:hAnsi="宋体" w:cs="宋体"/>
                <w:color w:val="000000"/>
                <w:szCs w:val="21"/>
              </w:rPr>
            </w:pPr>
            <w:r>
              <w:rPr>
                <w:rFonts w:hint="eastAsia"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gridSpan w:val="3"/>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bCs/>
                <w:color w:val="000000"/>
                <w:szCs w:val="21"/>
              </w:rPr>
              <w:t>合计</w:t>
            </w:r>
          </w:p>
        </w:tc>
        <w:tc>
          <w:tcPr>
            <w:tcW w:w="692" w:type="dxa"/>
            <w:tcBorders>
              <w:top w:val="single" w:color="auto" w:sz="4" w:space="0"/>
              <w:left w:val="single" w:color="auto" w:sz="4" w:space="0"/>
              <w:bottom w:val="single" w:color="auto" w:sz="4" w:space="0"/>
              <w:right w:val="single" w:color="auto" w:sz="4" w:space="0"/>
            </w:tcBorders>
            <w:noWrap/>
            <w:vAlign w:val="center"/>
          </w:tcPr>
          <w:p>
            <w:pPr>
              <w:shd w:val="clear" w:color="auto" w:fill="FFFFFF"/>
              <w:spacing w:line="360" w:lineRule="auto"/>
              <w:jc w:val="center"/>
              <w:rPr>
                <w:rFonts w:ascii="宋体" w:hAnsi="宋体" w:cs="宋体"/>
                <w:b/>
                <w:color w:val="000000"/>
                <w:szCs w:val="21"/>
              </w:rPr>
            </w:pPr>
            <w:r>
              <w:rPr>
                <w:rFonts w:hint="eastAsia" w:ascii="宋体" w:hAnsi="宋体" w:cs="宋体"/>
                <w:b/>
                <w:color w:val="000000"/>
                <w:szCs w:val="21"/>
              </w:rPr>
              <w:t>20分</w:t>
            </w:r>
          </w:p>
        </w:tc>
      </w:tr>
    </w:tbl>
    <w:p>
      <w:pPr>
        <w:spacing w:line="360" w:lineRule="auto"/>
        <w:jc w:val="both"/>
        <w:rPr>
          <w:rFonts w:hint="eastAsia" w:ascii="宋体" w:hAnsi="宋体"/>
          <w:color w:val="000000"/>
          <w:szCs w:val="21"/>
        </w:rPr>
      </w:pPr>
      <w:r>
        <w:rPr>
          <w:rFonts w:hint="eastAsia" w:ascii="宋体" w:hAnsi="宋体"/>
          <w:b/>
          <w:color w:val="000000"/>
          <w:szCs w:val="21"/>
        </w:rPr>
        <w:t>注：</w:t>
      </w:r>
      <w:r>
        <w:rPr>
          <w:rFonts w:hint="eastAsia" w:ascii="宋体" w:hAnsi="宋体"/>
          <w:color w:val="000000"/>
          <w:szCs w:val="21"/>
        </w:rPr>
        <w:t>1.评委按分项的规定分数范围内给各供应商进行打分，并统计总分</w:t>
      </w:r>
    </w:p>
    <w:p>
      <w:pPr>
        <w:pStyle w:val="2"/>
        <w:rPr>
          <w:rFonts w:hint="eastAsia" w:ascii="宋体" w:hAnsi="宋体"/>
          <w:color w:val="000000"/>
          <w:szCs w:val="21"/>
        </w:rPr>
      </w:pPr>
    </w:p>
    <w:p>
      <w:pPr>
        <w:pStyle w:val="2"/>
        <w:rPr>
          <w:rFonts w:hint="default" w:ascii="宋体" w:hAnsi="宋体" w:eastAsia="宋体"/>
          <w:b/>
          <w:bCs/>
          <w:color w:val="000000"/>
          <w:szCs w:val="21"/>
          <w:lang w:val="en-US" w:eastAsia="zh-CN"/>
        </w:rPr>
        <w:sectPr>
          <w:pgSz w:w="11906" w:h="16838"/>
          <w:pgMar w:top="1440" w:right="1797" w:bottom="1440" w:left="1797" w:header="851" w:footer="851" w:gutter="0"/>
          <w:cols w:space="720" w:num="1"/>
          <w:docGrid w:linePitch="312" w:charSpace="0"/>
        </w:sectPr>
      </w:pPr>
      <w:r>
        <w:rPr>
          <w:rFonts w:hint="eastAsia" w:hAnsi="宋体"/>
          <w:b/>
          <w:bCs/>
          <w:color w:val="000000"/>
          <w:szCs w:val="21"/>
          <w:lang w:val="en-US" w:eastAsia="zh-CN"/>
        </w:rPr>
        <w:t>3.价格评审表</w:t>
      </w:r>
    </w:p>
    <w:tbl>
      <w:tblPr>
        <w:tblStyle w:val="7"/>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06"/>
        <w:gridCol w:w="1241"/>
        <w:gridCol w:w="7230"/>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0" w:hRule="atLeast"/>
          <w:jc w:val="center"/>
        </w:trPr>
        <w:tc>
          <w:tcPr>
            <w:tcW w:w="506" w:type="dxa"/>
            <w:noWrap w:val="0"/>
            <w:vAlign w:val="center"/>
          </w:tcPr>
          <w:p>
            <w:pPr>
              <w:adjustRightInd w:val="0"/>
              <w:spacing w:line="276" w:lineRule="auto"/>
              <w:jc w:val="center"/>
              <w:rPr>
                <w:b/>
                <w:szCs w:val="21"/>
              </w:rPr>
            </w:pPr>
            <w:r>
              <w:rPr>
                <w:rFonts w:hint="eastAsia"/>
                <w:b/>
                <w:szCs w:val="21"/>
              </w:rPr>
              <w:t>序号</w:t>
            </w:r>
          </w:p>
        </w:tc>
        <w:tc>
          <w:tcPr>
            <w:tcW w:w="1241" w:type="dxa"/>
            <w:noWrap w:val="0"/>
            <w:vAlign w:val="center"/>
          </w:tcPr>
          <w:p>
            <w:pPr>
              <w:adjustRightInd w:val="0"/>
              <w:spacing w:line="276" w:lineRule="auto"/>
              <w:jc w:val="center"/>
              <w:rPr>
                <w:b/>
                <w:szCs w:val="21"/>
              </w:rPr>
            </w:pPr>
            <w:r>
              <w:rPr>
                <w:rFonts w:hint="eastAsia"/>
                <w:b/>
                <w:szCs w:val="21"/>
              </w:rPr>
              <w:t>评审项目</w:t>
            </w:r>
          </w:p>
        </w:tc>
        <w:tc>
          <w:tcPr>
            <w:tcW w:w="7230" w:type="dxa"/>
            <w:noWrap w:val="0"/>
            <w:vAlign w:val="center"/>
          </w:tcPr>
          <w:p>
            <w:pPr>
              <w:adjustRightInd w:val="0"/>
              <w:spacing w:line="276" w:lineRule="auto"/>
              <w:jc w:val="center"/>
              <w:rPr>
                <w:b/>
                <w:szCs w:val="21"/>
              </w:rPr>
            </w:pPr>
            <w:r>
              <w:rPr>
                <w:b/>
                <w:szCs w:val="21"/>
              </w:rPr>
              <w:t>详细评审内容</w:t>
            </w:r>
          </w:p>
        </w:tc>
        <w:tc>
          <w:tcPr>
            <w:tcW w:w="665" w:type="dxa"/>
            <w:noWrap w:val="0"/>
            <w:vAlign w:val="center"/>
          </w:tcPr>
          <w:p>
            <w:pPr>
              <w:adjustRightInd w:val="0"/>
              <w:spacing w:line="276" w:lineRule="auto"/>
              <w:jc w:val="center"/>
              <w:rPr>
                <w:b/>
                <w:szCs w:val="21"/>
              </w:rPr>
            </w:pPr>
            <w:r>
              <w:rPr>
                <w:rFonts w:hint="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23" w:hRule="atLeast"/>
          <w:jc w:val="center"/>
        </w:trPr>
        <w:tc>
          <w:tcPr>
            <w:tcW w:w="506" w:type="dxa"/>
            <w:noWrap w:val="0"/>
            <w:vAlign w:val="center"/>
          </w:tcPr>
          <w:p>
            <w:pPr>
              <w:adjustRightInd w:val="0"/>
              <w:spacing w:line="276" w:lineRule="auto"/>
              <w:jc w:val="center"/>
              <w:rPr>
                <w:szCs w:val="21"/>
              </w:rPr>
            </w:pPr>
            <w:r>
              <w:rPr>
                <w:szCs w:val="21"/>
              </w:rPr>
              <w:t>1</w:t>
            </w:r>
          </w:p>
        </w:tc>
        <w:tc>
          <w:tcPr>
            <w:tcW w:w="1241" w:type="dxa"/>
            <w:noWrap w:val="0"/>
            <w:vAlign w:val="center"/>
          </w:tcPr>
          <w:p>
            <w:pPr>
              <w:adjustRightInd w:val="0"/>
              <w:spacing w:line="276" w:lineRule="auto"/>
              <w:jc w:val="center"/>
              <w:rPr>
                <w:szCs w:val="21"/>
              </w:rPr>
            </w:pPr>
            <w:r>
              <w:rPr>
                <w:rFonts w:hint="eastAsia"/>
                <w:szCs w:val="21"/>
              </w:rPr>
              <w:t>价格</w:t>
            </w:r>
          </w:p>
        </w:tc>
        <w:tc>
          <w:tcPr>
            <w:tcW w:w="7230" w:type="dxa"/>
            <w:noWrap w:val="0"/>
            <w:vAlign w:val="center"/>
          </w:tcPr>
          <w:p>
            <w:pPr>
              <w:snapToGrid w:val="0"/>
              <w:spacing w:line="360" w:lineRule="auto"/>
              <w:ind w:firstLine="420" w:firstLineChars="200"/>
            </w:pPr>
            <w:r>
              <w:rPr>
                <w:rFonts w:hint="eastAsia"/>
              </w:rPr>
              <w:t>标委员会对</w:t>
            </w:r>
            <w:r>
              <w:rPr>
                <w:rStyle w:val="9"/>
                <w:color w:val="auto"/>
                <w:sz w:val="21"/>
                <w:szCs w:val="21"/>
              </w:rPr>
              <w:t>通过资格</w:t>
            </w:r>
            <w:r>
              <w:rPr>
                <w:rStyle w:val="9"/>
                <w:rFonts w:hint="eastAsia"/>
                <w:color w:val="auto"/>
                <w:sz w:val="21"/>
                <w:szCs w:val="21"/>
              </w:rPr>
              <w:t>、</w:t>
            </w:r>
            <w:r>
              <w:rPr>
                <w:rStyle w:val="9"/>
                <w:color w:val="auto"/>
                <w:sz w:val="21"/>
                <w:szCs w:val="21"/>
              </w:rPr>
              <w:t>符合性</w:t>
            </w:r>
            <w:r>
              <w:rPr>
                <w:rStyle w:val="9"/>
                <w:rFonts w:hint="eastAsia"/>
                <w:color w:val="auto"/>
                <w:sz w:val="21"/>
                <w:szCs w:val="21"/>
              </w:rPr>
              <w:t>的</w:t>
            </w:r>
            <w:r>
              <w:rPr>
                <w:rFonts w:hint="eastAsia"/>
              </w:rPr>
              <w:t>投标人的投标价格进行修正核实。综合评分法中的价格分统一采用低价优先法计算，</w:t>
            </w:r>
            <w:r>
              <w:t>即满足招标文件要求且投标价格最低的投标报价为评标基准价，其价格分为满分。其他投标人的价格分统一按照下列公式计算：</w:t>
            </w:r>
          </w:p>
          <w:p>
            <w:pPr>
              <w:adjustRightInd w:val="0"/>
              <w:spacing w:line="276" w:lineRule="auto"/>
              <w:ind w:firstLine="441" w:firstLineChars="210"/>
              <w:rPr>
                <w:szCs w:val="21"/>
              </w:rPr>
            </w:pPr>
            <w:r>
              <w:t>投标报价得分=(评标基准价／投标报价)×</w:t>
            </w:r>
            <w:r>
              <w:rPr>
                <w:rFonts w:hint="eastAsia"/>
                <w:szCs w:val="21"/>
              </w:rPr>
              <w:t>价格权重</w:t>
            </w:r>
            <w:r>
              <w:t>×100</w:t>
            </w:r>
            <w:r>
              <w:rPr>
                <w:szCs w:val="21"/>
              </w:rPr>
              <w:t>（精确到0.01）</w:t>
            </w:r>
            <w:r>
              <w:rPr>
                <w:b/>
              </w:rPr>
              <w:t>因落实政府采购政策进行价格调整的，以调整后的价格计算评标基准价和投标报价。</w:t>
            </w:r>
          </w:p>
        </w:tc>
        <w:tc>
          <w:tcPr>
            <w:tcW w:w="665" w:type="dxa"/>
            <w:noWrap w:val="0"/>
            <w:vAlign w:val="center"/>
          </w:tcPr>
          <w:p>
            <w:pPr>
              <w:adjustRightInd w:val="0"/>
              <w:spacing w:line="276" w:lineRule="auto"/>
              <w:jc w:val="center"/>
              <w:rPr>
                <w:rFonts w:hint="eastAsia"/>
                <w:szCs w:val="21"/>
              </w:rPr>
            </w:pPr>
            <w:r>
              <w:rPr>
                <w:rFonts w:hint="eastAsia"/>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8" w:hRule="atLeast"/>
          <w:jc w:val="center"/>
        </w:trPr>
        <w:tc>
          <w:tcPr>
            <w:tcW w:w="8977" w:type="dxa"/>
            <w:gridSpan w:val="3"/>
            <w:noWrap w:val="0"/>
            <w:vAlign w:val="center"/>
          </w:tcPr>
          <w:p>
            <w:pPr>
              <w:snapToGrid w:val="0"/>
              <w:spacing w:line="276" w:lineRule="auto"/>
              <w:ind w:firstLine="443" w:firstLineChars="210"/>
              <w:jc w:val="center"/>
              <w:rPr>
                <w:rFonts w:hint="eastAsia"/>
                <w:b/>
                <w:szCs w:val="21"/>
              </w:rPr>
            </w:pPr>
            <w:r>
              <w:rPr>
                <w:rFonts w:hint="eastAsia"/>
                <w:b/>
                <w:szCs w:val="21"/>
              </w:rPr>
              <w:t>合计</w:t>
            </w:r>
          </w:p>
        </w:tc>
        <w:tc>
          <w:tcPr>
            <w:tcW w:w="665" w:type="dxa"/>
            <w:noWrap w:val="0"/>
            <w:vAlign w:val="center"/>
          </w:tcPr>
          <w:p>
            <w:pPr>
              <w:adjustRightInd w:val="0"/>
              <w:spacing w:line="276" w:lineRule="auto"/>
              <w:jc w:val="center"/>
              <w:rPr>
                <w:rFonts w:hint="eastAsia"/>
                <w:szCs w:val="21"/>
              </w:rPr>
            </w:pPr>
            <w:r>
              <w:rPr>
                <w:rFonts w:hint="eastAsia"/>
                <w:b/>
                <w:szCs w:val="21"/>
              </w:rPr>
              <w:t>30分</w:t>
            </w:r>
          </w:p>
        </w:tc>
      </w:tr>
    </w:tbl>
    <w:p>
      <w:pPr>
        <w:spacing w:line="360" w:lineRule="auto"/>
        <w:jc w:val="both"/>
        <w:rPr>
          <w:rFonts w:hint="eastAsia" w:ascii="宋体" w:hAnsi="宋体"/>
          <w:b/>
          <w:color w:val="000000"/>
          <w:szCs w:val="21"/>
        </w:rPr>
      </w:pPr>
    </w:p>
    <w:p>
      <w:pPr>
        <w:spacing w:line="360" w:lineRule="auto"/>
        <w:jc w:val="both"/>
        <w:rPr>
          <w:rFonts w:hint="eastAsia" w:ascii="宋体" w:hAnsi="宋体"/>
          <w:b/>
          <w:color w:val="000000"/>
          <w:szCs w:val="21"/>
        </w:rPr>
      </w:pPr>
    </w:p>
    <w:p>
      <w:pPr>
        <w:pStyle w:val="3"/>
        <w:ind w:firstLine="422" w:firstLineChars="200"/>
        <w:rPr>
          <w:rFonts w:hAnsi="宋体" w:cs="宋体"/>
          <w:b/>
          <w:bCs/>
          <w:color w:val="000000"/>
          <w:szCs w:val="21"/>
        </w:rPr>
      </w:pPr>
      <w:r>
        <w:rPr>
          <w:rFonts w:hint="eastAsia" w:hAnsi="宋体"/>
          <w:b/>
          <w:color w:val="000000"/>
          <w:szCs w:val="21"/>
        </w:rPr>
        <w:t>★</w:t>
      </w:r>
      <w:r>
        <w:rPr>
          <w:rFonts w:hint="eastAsia" w:hAnsi="宋体" w:cs="宋体"/>
          <w:b/>
          <w:bCs/>
          <w:color w:val="000000"/>
          <w:szCs w:val="21"/>
        </w:rPr>
        <w:t>供应商必须做出书面承诺：如获成交，在</w:t>
      </w:r>
      <w:r>
        <w:rPr>
          <w:rFonts w:hint="eastAsia" w:hAnsi="宋体"/>
          <w:b/>
          <w:bCs/>
          <w:color w:val="000000"/>
          <w:szCs w:val="21"/>
        </w:rPr>
        <w:t>广东政府采购智慧云平台电子卖场“集采馆（定点集市）”进行议价时候，</w:t>
      </w:r>
      <w:r>
        <w:rPr>
          <w:rFonts w:hint="eastAsia" w:hAnsi="宋体" w:cs="宋体"/>
          <w:b/>
          <w:bCs/>
          <w:color w:val="000000"/>
          <w:szCs w:val="21"/>
        </w:rPr>
        <w:t>报价价格必须为本项目成交价格（响应文件内须提供承诺函）。</w:t>
      </w:r>
    </w:p>
    <w:p>
      <w:pPr>
        <w:spacing w:line="360" w:lineRule="auto"/>
        <w:jc w:val="both"/>
        <w:rPr>
          <w:rFonts w:hint="eastAsia" w:ascii="宋体" w:hAnsi="宋体"/>
          <w:b/>
          <w:color w:val="000000"/>
          <w:szCs w:val="21"/>
        </w:rPr>
      </w:pPr>
    </w:p>
    <w:p>
      <w:pPr>
        <w:spacing w:line="360" w:lineRule="auto"/>
        <w:jc w:val="both"/>
        <w:rPr>
          <w:rFonts w:hint="eastAsia" w:ascii="宋体" w:hAnsi="宋体"/>
          <w:b/>
          <w:color w:val="000000"/>
          <w:szCs w:val="21"/>
        </w:rPr>
      </w:pPr>
      <w:bookmarkStart w:id="0" w:name="_GoBack"/>
      <w:bookmarkEnd w:id="0"/>
    </w:p>
    <w:p>
      <w:pPr>
        <w:spacing w:line="360" w:lineRule="auto"/>
        <w:jc w:val="both"/>
        <w:rPr>
          <w:rFonts w:hint="eastAsia" w:ascii="宋体" w:hAnsi="宋体"/>
          <w:b/>
          <w:color w:val="000000"/>
          <w:szCs w:val="21"/>
        </w:rPr>
      </w:pPr>
    </w:p>
    <w:p>
      <w:pPr>
        <w:spacing w:line="360" w:lineRule="auto"/>
        <w:jc w:val="both"/>
        <w:rPr>
          <w:rFonts w:hint="eastAsia" w:ascii="宋体" w:hAnsi="宋体"/>
          <w:b/>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A7FFC"/>
    <w:rsid w:val="2ECA7FFC"/>
    <w:rsid w:val="7241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99"/>
    <w:pPr>
      <w:widowControl w:val="0"/>
      <w:jc w:val="both"/>
    </w:pPr>
    <w:rPr>
      <w:rFonts w:ascii="宋体" w:hAnsi="Courier New"/>
      <w:kern w:val="2"/>
    </w:rPr>
  </w:style>
  <w:style w:type="paragraph" w:styleId="3">
    <w:name w:val="Normal Indent"/>
    <w:basedOn w:val="1"/>
    <w:qFormat/>
    <w:uiPriority w:val="0"/>
    <w:pPr>
      <w:spacing w:line="360" w:lineRule="auto"/>
      <w:ind w:firstLine="420"/>
    </w:pPr>
    <w:rPr>
      <w:rFonts w:ascii="宋体"/>
    </w:rPr>
  </w:style>
  <w:style w:type="paragraph" w:styleId="4">
    <w:name w:val="annotation text"/>
    <w:basedOn w:val="1"/>
    <w:qFormat/>
    <w:uiPriority w:val="0"/>
    <w:pPr>
      <w:widowControl w:val="0"/>
    </w:pPr>
    <w:rPr>
      <w:kern w:val="2"/>
      <w:szCs w:val="24"/>
    </w:rPr>
  </w:style>
  <w:style w:type="paragraph" w:styleId="5">
    <w:name w:val="Body Text Indent"/>
    <w:basedOn w:val="1"/>
    <w:qFormat/>
    <w:uiPriority w:val="0"/>
    <w:pPr>
      <w:spacing w:after="120"/>
      <w:ind w:left="420" w:leftChars="200"/>
    </w:pPr>
  </w:style>
  <w:style w:type="paragraph" w:styleId="6">
    <w:name w:val="Body Text First Indent 2"/>
    <w:basedOn w:val="5"/>
    <w:qFormat/>
    <w:uiPriority w:val="0"/>
    <w:pPr>
      <w:widowControl w:val="0"/>
      <w:ind w:left="200" w:leftChars="0" w:firstLine="200"/>
      <w:jc w:val="both"/>
    </w:pPr>
    <w:rPr>
      <w:rFonts w:ascii="宋体" w:hAnsi="宋体"/>
      <w:kern w:val="2"/>
    </w:rPr>
  </w:style>
  <w:style w:type="character" w:customStyle="1" w:styleId="9">
    <w:name w:val="fontstyle01"/>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2024-04-10T02:07:00Z</dcterms:created>
  <dc:creator>Administrator</dc:creator>
  <cp:lastModifiedBy>Administrator</cp:lastModifiedBy>
  <dcterms:modified xsi:type="dcterms:W3CDTF">2024-04-10T02:29:14Z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