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360" w:lineRule="auto"/>
        <w:ind w:left="0" w:right="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全外显子组（WES）检测服务项目采购需求及技术参数</w:t>
      </w:r>
    </w:p>
    <w:p>
      <w:pPr>
        <w:snapToGrid/>
        <w:spacing w:before="0" w:after="0" w:line="360" w:lineRule="auto"/>
        <w:ind w:left="0" w:right="0"/>
        <w:jc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  <w:t> </w:t>
      </w:r>
    </w:p>
    <w:p>
      <w:pPr>
        <w:tabs>
          <w:tab w:val="left" w:pos="420"/>
          <w:tab w:val="left" w:pos="540"/>
        </w:tabs>
        <w:snapToGrid/>
        <w:spacing w:before="0" w:after="160" w:line="360" w:lineRule="auto"/>
        <w:ind w:left="420" w:right="0" w:hanging="420"/>
        <w:jc w:val="both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  <w:t>一、基本要求</w:t>
      </w:r>
    </w:p>
    <w:p>
      <w:pPr>
        <w:numPr>
          <w:numId w:val="0"/>
        </w:numPr>
        <w:tabs>
          <w:tab w:val="left" w:pos="420"/>
        </w:tabs>
        <w:snapToGrid/>
        <w:spacing w:before="0" w:after="0" w:line="360" w:lineRule="auto"/>
        <w:ind w:leftChars="0"/>
        <w:jc w:val="left"/>
        <w:rPr>
          <w:rFonts w:ascii="宋体" w:hAnsi="宋体" w:eastAsia="宋体" w:cs="宋体"/>
          <w:color w:val="282828"/>
          <w:sz w:val="21"/>
        </w:rPr>
      </w:pPr>
      <w:r>
        <w:rPr>
          <w:rFonts w:hint="eastAsia"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  <w:lang w:val="en-US" w:eastAsia="zh-CN"/>
        </w:rPr>
        <w:t>1.</w:t>
      </w:r>
      <w:r>
        <w:rPr>
          <w:rFonts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</w:rPr>
        <w:t>项目名称：全外显子组（WES）检测服务项目采购。</w:t>
      </w:r>
    </w:p>
    <w:p>
      <w:pPr>
        <w:numPr>
          <w:numId w:val="0"/>
        </w:numPr>
        <w:tabs>
          <w:tab w:val="left" w:pos="420"/>
        </w:tabs>
        <w:snapToGrid/>
        <w:spacing w:before="0" w:after="0" w:line="360" w:lineRule="auto"/>
        <w:ind w:leftChars="0"/>
        <w:jc w:val="left"/>
        <w:rPr>
          <w:rFonts w:ascii="宋体" w:hAnsi="宋体" w:eastAsia="宋体" w:cs="宋体"/>
          <w:color w:val="282828"/>
          <w:sz w:val="21"/>
        </w:rPr>
      </w:pPr>
      <w:r>
        <w:rPr>
          <w:rFonts w:hint="eastAsia"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  <w:lang w:val="en-US" w:eastAsia="zh-CN"/>
        </w:rPr>
        <w:t>2.</w:t>
      </w:r>
      <w:r>
        <w:rPr>
          <w:rFonts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</w:rPr>
        <w:t>项目主要内容：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20"/>
        <w:gridCol w:w="1410"/>
        <w:gridCol w:w="282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序号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内容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数量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服务期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1</w:t>
            </w:r>
          </w:p>
        </w:tc>
        <w:tc>
          <w:tcPr>
            <w:tcW w:w="28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全外显子组（WES）检测服务项目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1</w:t>
            </w:r>
          </w:p>
        </w:tc>
        <w:tc>
          <w:tcPr>
            <w:tcW w:w="28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282828"/>
                <w:spacing w:val="0"/>
                <w:sz w:val="21"/>
                <w:u w:val="none"/>
              </w:rPr>
              <w:t>合同签订日2年以内</w:t>
            </w:r>
          </w:p>
        </w:tc>
      </w:tr>
    </w:tbl>
    <w:p>
      <w:pPr>
        <w:numPr>
          <w:numId w:val="0"/>
        </w:numPr>
        <w:tabs>
          <w:tab w:val="left" w:pos="540"/>
        </w:tabs>
        <w:snapToGrid/>
        <w:spacing w:before="0" w:after="0" w:line="360" w:lineRule="auto"/>
        <w:ind w:leftChars="0"/>
        <w:jc w:val="left"/>
        <w:rPr>
          <w:rFonts w:ascii="宋体" w:hAnsi="宋体" w:eastAsia="宋体" w:cs="宋体"/>
          <w:color w:val="282828"/>
          <w:sz w:val="21"/>
        </w:rPr>
      </w:pPr>
      <w:r>
        <w:rPr>
          <w:rFonts w:hint="eastAsia"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  <w:lang w:val="en-US" w:eastAsia="zh-CN"/>
        </w:rPr>
        <w:t>3.</w:t>
      </w:r>
      <w:r>
        <w:rPr>
          <w:rFonts w:ascii="宋体" w:hAnsi="宋体" w:eastAsia="宋体" w:cs="宋体"/>
          <w:i w:val="0"/>
          <w:strike w:val="0"/>
          <w:color w:val="282828"/>
          <w:sz w:val="21"/>
          <w:u w:val="none"/>
          <w:shd w:val="clear" w:color="auto" w:fill="FFFFFF"/>
        </w:rPr>
        <w:t>项目采购方式：院内竞争性谈判。</w:t>
      </w:r>
    </w:p>
    <w:p>
      <w:pPr>
        <w:pBdr>
          <w:bottom w:val="none" w:color="auto" w:sz="0" w:space="0"/>
        </w:pBdr>
        <w:tabs>
          <w:tab w:val="left" w:pos="540"/>
        </w:tabs>
        <w:snapToGrid/>
        <w:spacing w:before="0" w:after="0" w:line="360" w:lineRule="auto"/>
        <w:ind w:left="420"/>
        <w:jc w:val="left"/>
        <w:rPr>
          <w:rFonts w:ascii="宋体" w:hAnsi="宋体" w:eastAsia="宋体" w:cs="宋体"/>
          <w:color w:val="282828"/>
          <w:sz w:val="21"/>
        </w:rPr>
      </w:pPr>
    </w:p>
    <w:p>
      <w:pPr>
        <w:tabs>
          <w:tab w:val="left" w:pos="420"/>
          <w:tab w:val="left" w:pos="540"/>
        </w:tabs>
        <w:snapToGrid/>
        <w:spacing w:before="0" w:after="160" w:line="360" w:lineRule="auto"/>
        <w:ind w:left="420" w:right="0" w:hanging="420"/>
        <w:jc w:val="both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二、</w:t>
      </w:r>
      <w:r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  <w:t>主要技术要求</w:t>
      </w:r>
      <w:bookmarkStart w:id="1" w:name="_GoBack"/>
      <w:bookmarkEnd w:id="1"/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 xml:space="preserve">▲检测内容：包含人类基因组20000+编码基因的全部外显子区域及外显子毗邻±25bp区域、线粒体全基因组。 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检测方法：靶向捕获技术+高通量测序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▲质控标准：单个样本的测序数据量在12Gb以上，平均测序深度≥100X，捕获效率≥60%，靶标区域覆盖度≥99%，测序深度大于30X的区域≥90%，Q30碱基百分比≥90%。线粒体基因组平均深度≥10000X。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▲数据分析内容：（1）单核苷酸变异SNVs；（2）小片段插入缺失InDels（≤50bp）；（3）通过二代测序数据运用数据算法能够精准分析100kb以上CNV，包括分析单个外显子、多个外显子、染色体层面的缺失和重复变异，能覆盖DMD、α-地中海贫血、SMA等遗传病的特殊类型变异；（4）可以实现低至1%的线粒体变异检测；（5）核心家系全外显子检测可分析UPD变异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bookmarkStart w:id="0" w:name="OLE_LINK14"/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5)数据分析与解读：位点致病性的解读需要参考ACMG发布的位点致病性解读指南。同时按照临床实验室改进修正案（CLIA）和美国病理学家学会（CAP）的要求进行可靠的验证，以保证灵敏度、特异性和准确度达到要求，从而确保检出、分析及报出结果的准确性。</w:t>
      </w:r>
      <w:bookmarkEnd w:id="0"/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数据重分析：在全外显子组检测分析完成及交付遗传病基因检测报告后，可在2年内对原始数据进行2次免费数据分析服务。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补充检测技术验证服务：对于检测范围内的SNV/Indel变异，免费进行金标准Sanger测序验证；对于一些特殊的基因（如假基因）检测，大片段CNV（&lt;1Mb），有能力提供特异性长链PCR+巢式PCR+Sanger测序、CNV-seq等技术的验证服务；对于检出的内含子区域VUS剪切变异，有能力提供转录水平验证服务，提升位点致病性等级评价证据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★可根据临床需求，为进行WES的助孕女性提供基于WES的供精者数据匹配方案，并提供相应方案描述。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至少完成100例基于WES的供精者基因检测，提供相应检测结果情况证明。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★可针对助孕女性提供基于WES的“单基因遗传病携带者筛查”保险，并提供保险合作协议作为证明。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本地化生信分析能力：具有提供配套的数据分析系统及数据库，搭建本地化数据分析平台的能力。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合作文章发表：合作单位基于该技术发表的SCI文章≥5篇，并提供对应证明材料。</w:t>
      </w:r>
    </w:p>
    <w:p>
      <w:pPr>
        <w:numPr>
          <w:ilvl w:val="0"/>
          <w:numId w:val="1"/>
        </w:numPr>
        <w:snapToGrid/>
        <w:spacing w:before="0" w:after="0" w:line="360" w:lineRule="auto"/>
        <w:jc w:val="left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遗传咨询能力：投标单位至少 5人拥有权威机构颁发的遗传咨询师相关证书（提供证明材料）。</w:t>
      </w:r>
    </w:p>
    <w:p>
      <w:pPr>
        <w:snapToGrid/>
        <w:spacing w:before="0" w:after="0" w:line="360" w:lineRule="auto"/>
        <w:ind w:left="0" w:right="0"/>
        <w:jc w:val="both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（注：评标方法为综合评分法时带“▲”的参数需求为实质性要求，供应商必须响应并满足的参数需求，采购人、采购代理机构应当根据项目实际需求合理设定，并明确具体要求。带“★”号条款为允许负偏离的参数需求，若未响应或者不满足，将在综合评审中予以扣分处理。）</w:t>
      </w:r>
    </w:p>
    <w:p>
      <w:pPr>
        <w:snapToGrid/>
        <w:spacing w:before="0" w:after="0" w:line="360" w:lineRule="auto"/>
        <w:ind w:left="0" w:right="0"/>
        <w:jc w:val="both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 </w:t>
      </w:r>
    </w:p>
    <w:p>
      <w:pPr>
        <w:pStyle w:val="3"/>
        <w:snapToGrid/>
        <w:spacing w:line="240" w:lineRule="auto"/>
        <w:jc w:val="left"/>
        <w:rPr>
          <w:rFonts w:ascii="宋体" w:hAnsi="宋体" w:eastAsia="宋体" w:cs="宋体"/>
          <w:sz w:val="21"/>
        </w:rPr>
      </w:pPr>
    </w:p>
    <w:p>
      <w:pPr>
        <w:snapToGrid/>
        <w:spacing w:line="240" w:lineRule="auto"/>
        <w:rPr>
          <w:rFonts w:ascii="宋体" w:hAnsi="宋体" w:eastAsia="宋体" w:cs="宋体"/>
          <w:sz w:val="21"/>
        </w:rPr>
      </w:pPr>
    </w:p>
    <w:sectPr>
      <w:pgSz w:w="11905" w:h="16838"/>
      <w:pgMar w:top="1361" w:right="1417" w:bottom="1361" w:left="1417" w:header="720" w:footer="720" w:gutter="0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440" w:hanging="440"/>
      </w:pPr>
      <w:rPr>
        <w:color w:val="auto"/>
      </w:rPr>
    </w:lvl>
    <w:lvl w:ilvl="1" w:tentative="0">
      <w:start w:val="1"/>
      <w:numFmt w:val="bullet"/>
      <w:lvlText w:val="▲"/>
      <w:lvlJc w:val="left"/>
      <w:pPr>
        <w:ind w:left="800" w:hanging="360"/>
      </w:pPr>
      <w:rPr>
        <w:rFonts w:hint="default" w:ascii="Wingdings" w:hAnsi="Wingdings" w:eastAsia="Wingdings" w:cs="Wingdings"/>
      </w:rPr>
    </w:lvl>
    <w:lvl w:ilvl="2" w:tentative="0">
      <w:start w:val="1"/>
      <w:numFmt w:val="lowerRoman"/>
      <w:lvlText w:val="%3."/>
      <w:lvlJc w:val="lef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lef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  <w:rsid w:val="01D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2024-01-25T11:34:00Z</dcterms:created>
  <dc:creator>Administrator</dc:creator>
  <cp:lastModifiedBy>Administrator</cp:lastModifiedBy>
  <dcterms:modified xsi:type="dcterms:W3CDTF">2024-02-01T09:07:32Z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